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BE25" w14:textId="3F05BECC" w:rsidR="00FC1B3B" w:rsidRDefault="004965C9" w:rsidP="00FC1B3B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FC1B3B">
        <w:rPr>
          <w:rFonts w:asciiTheme="minorHAnsi" w:hAnsiTheme="minorHAnsi" w:cstheme="minorHAnsi"/>
          <w:b/>
          <w:sz w:val="22"/>
          <w:szCs w:val="22"/>
        </w:rPr>
        <w:tab/>
      </w:r>
      <w:r w:rsidR="00FC1B3B">
        <w:rPr>
          <w:rFonts w:asciiTheme="minorHAnsi" w:hAnsiTheme="minorHAnsi" w:cstheme="minorHAnsi"/>
          <w:b/>
          <w:sz w:val="22"/>
          <w:szCs w:val="22"/>
        </w:rPr>
        <w:tab/>
      </w:r>
      <w:r w:rsidR="00FC1B3B">
        <w:rPr>
          <w:rFonts w:asciiTheme="minorHAnsi" w:hAnsiTheme="minorHAnsi" w:cstheme="minorHAnsi"/>
          <w:b/>
          <w:sz w:val="22"/>
          <w:szCs w:val="22"/>
        </w:rPr>
        <w:tab/>
      </w:r>
      <w:r w:rsidR="00FC1B3B">
        <w:rPr>
          <w:rFonts w:asciiTheme="minorHAnsi" w:hAnsiTheme="minorHAnsi" w:cstheme="minorHAnsi"/>
          <w:b/>
          <w:sz w:val="22"/>
          <w:szCs w:val="22"/>
        </w:rPr>
        <w:tab/>
      </w:r>
      <w:r w:rsidR="00FC1B3B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B2755A" w:rsidRPr="00B2755A">
        <w:rPr>
          <w:rFonts w:asciiTheme="minorHAnsi" w:hAnsiTheme="minorHAnsi" w:cstheme="minorHAnsi"/>
          <w:b/>
          <w:sz w:val="22"/>
          <w:szCs w:val="22"/>
        </w:rPr>
        <w:t xml:space="preserve"> ΨΣΛΣΟΡΡ3-ΒΗΓ</w:t>
      </w:r>
    </w:p>
    <w:p w14:paraId="242803F3" w14:textId="4344DA30" w:rsidR="00A63ADE" w:rsidRPr="00FC1B3B" w:rsidRDefault="00FC1B3B" w:rsidP="00FC1B3B">
      <w:pPr>
        <w:spacing w:line="320" w:lineRule="exact"/>
        <w:ind w:left="4320" w:right="-12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877F3F" w:rsidRPr="00FC1B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FC1B3B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FC1B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3B6B">
        <w:rPr>
          <w:rFonts w:asciiTheme="minorHAnsi" w:hAnsiTheme="minorHAnsi" w:cstheme="minorHAnsi"/>
          <w:b/>
          <w:sz w:val="22"/>
          <w:szCs w:val="22"/>
        </w:rPr>
        <w:t>4989/13.9.21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F63848" w14:textId="77777777" w:rsidR="00FC1B3B" w:rsidRDefault="00FC1B3B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6DE4574E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4E1A7A" w14:textId="77777777" w:rsidR="00943F7C" w:rsidRDefault="00A63ADE" w:rsidP="00943F7C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3849D8" w:rsidRPr="000031DA">
        <w:rPr>
          <w:rFonts w:asciiTheme="minorHAnsi" w:hAnsiTheme="minorHAnsi" w:cstheme="minorHAnsi"/>
          <w:b/>
          <w:sz w:val="22"/>
          <w:szCs w:val="22"/>
        </w:rPr>
        <w:t>αγορά</w:t>
      </w:r>
      <w:r w:rsidR="00585212" w:rsidRPr="000031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0F34" w:rsidRPr="000031DA">
        <w:rPr>
          <w:rFonts w:asciiTheme="minorHAnsi" w:hAnsiTheme="minorHAnsi" w:cstheme="minorHAnsi"/>
          <w:b/>
          <w:sz w:val="22"/>
          <w:szCs w:val="22"/>
        </w:rPr>
        <w:t>αντιδραστηρίων Τροπ</w:t>
      </w:r>
      <w:r w:rsidR="00E879BA" w:rsidRPr="000031DA">
        <w:rPr>
          <w:rFonts w:asciiTheme="minorHAnsi" w:hAnsiTheme="minorHAnsi" w:cstheme="minorHAnsi"/>
          <w:b/>
          <w:sz w:val="22"/>
          <w:szCs w:val="22"/>
        </w:rPr>
        <w:t>ον</w:t>
      </w:r>
      <w:r w:rsidR="00850F34" w:rsidRPr="000031DA">
        <w:rPr>
          <w:rFonts w:asciiTheme="minorHAnsi" w:hAnsiTheme="minorHAnsi" w:cstheme="minorHAnsi"/>
          <w:b/>
          <w:sz w:val="22"/>
          <w:szCs w:val="22"/>
        </w:rPr>
        <w:t xml:space="preserve">ίνης και </w:t>
      </w:r>
      <w:r w:rsidR="00850F34" w:rsidRPr="000031DA">
        <w:rPr>
          <w:rFonts w:asciiTheme="minorHAnsi" w:hAnsiTheme="minorHAnsi" w:cstheme="minorHAnsi"/>
          <w:b/>
          <w:sz w:val="22"/>
          <w:szCs w:val="22"/>
          <w:lang w:val="en-US"/>
        </w:rPr>
        <w:t>D</w:t>
      </w:r>
      <w:r w:rsidR="00850F34" w:rsidRPr="000031DA">
        <w:rPr>
          <w:rFonts w:asciiTheme="minorHAnsi" w:hAnsiTheme="minorHAnsi" w:cstheme="minorHAnsi"/>
          <w:b/>
          <w:sz w:val="22"/>
          <w:szCs w:val="22"/>
        </w:rPr>
        <w:t>-</w:t>
      </w:r>
      <w:r w:rsidR="00850F34" w:rsidRPr="000031DA">
        <w:rPr>
          <w:rFonts w:asciiTheme="minorHAnsi" w:hAnsiTheme="minorHAnsi" w:cstheme="minorHAnsi"/>
          <w:b/>
          <w:sz w:val="22"/>
          <w:szCs w:val="22"/>
          <w:lang w:val="en-US"/>
        </w:rPr>
        <w:t>Dimer</w:t>
      </w:r>
      <w:r w:rsidR="00850F34" w:rsidRPr="000031DA">
        <w:rPr>
          <w:rFonts w:asciiTheme="minorHAnsi" w:hAnsiTheme="minorHAnsi" w:cstheme="minorHAnsi"/>
          <w:b/>
          <w:sz w:val="22"/>
          <w:szCs w:val="22"/>
        </w:rPr>
        <w:t xml:space="preserve"> με σύνοδο </w:t>
      </w:r>
      <w:r w:rsidR="00E879BA" w:rsidRPr="000031DA">
        <w:rPr>
          <w:rFonts w:asciiTheme="minorHAnsi" w:hAnsiTheme="minorHAnsi" w:cstheme="minorHAnsi"/>
          <w:b/>
          <w:sz w:val="22"/>
          <w:szCs w:val="22"/>
        </w:rPr>
        <w:t xml:space="preserve">εξοπλισμό </w:t>
      </w:r>
      <w:r w:rsidR="00A32B51" w:rsidRPr="000031DA">
        <w:rPr>
          <w:rFonts w:asciiTheme="minorHAnsi" w:hAnsiTheme="minorHAnsi" w:cstheme="minorHAnsi"/>
          <w:b/>
          <w:sz w:val="22"/>
          <w:szCs w:val="22"/>
        </w:rPr>
        <w:t xml:space="preserve">για </w:t>
      </w:r>
      <w:r w:rsidR="00E879BA" w:rsidRPr="000031DA">
        <w:rPr>
          <w:rFonts w:asciiTheme="minorHAnsi" w:hAnsiTheme="minorHAnsi" w:cstheme="minorHAnsi"/>
          <w:b/>
          <w:sz w:val="22"/>
          <w:szCs w:val="22"/>
        </w:rPr>
        <w:t xml:space="preserve">τις ανάγκες του εργαστηρίου Ι. Βιοπαθολογίας </w:t>
      </w:r>
      <w:r w:rsidR="00BD7E67" w:rsidRPr="000031DA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0031DA">
        <w:rPr>
          <w:rFonts w:asciiTheme="minorHAnsi" w:hAnsiTheme="minorHAnsi" w:cstheme="minorHAnsi"/>
          <w:b/>
          <w:sz w:val="22"/>
          <w:szCs w:val="22"/>
        </w:rPr>
        <w:t>»</w:t>
      </w:r>
    </w:p>
    <w:p w14:paraId="40B7A281" w14:textId="77777777" w:rsidR="00943F7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1C65">
        <w:rPr>
          <w:rFonts w:asciiTheme="minorHAnsi" w:hAnsiTheme="minorHAnsi" w:cstheme="minorHAnsi"/>
          <w:b/>
          <w:sz w:val="22"/>
          <w:szCs w:val="22"/>
        </w:rPr>
        <w:t>Ν.4412/16</w:t>
      </w:r>
      <w:r w:rsidR="006859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59D1" w:rsidRPr="00943F7C">
        <w:rPr>
          <w:rFonts w:asciiTheme="minorHAnsi" w:hAnsiTheme="minorHAnsi" w:cstheme="minorHAnsi"/>
          <w:b/>
          <w:sz w:val="22"/>
          <w:szCs w:val="22"/>
        </w:rPr>
        <w:t>όπως έχει τροποποιηθεί και ισχύει δυνάμει του Ν. 4782/2021</w:t>
      </w:r>
      <w:r w:rsidRPr="00911C65">
        <w:rPr>
          <w:rFonts w:asciiTheme="minorHAnsi" w:hAnsiTheme="minorHAnsi" w:cstheme="minorHAnsi"/>
          <w:b/>
          <w:sz w:val="22"/>
          <w:szCs w:val="22"/>
        </w:rPr>
        <w:t xml:space="preserve"> και τις λοιπές διατάξεις κείμενης νομοθεσίας</w:t>
      </w:r>
    </w:p>
    <w:p w14:paraId="5A0E1238" w14:textId="0B3065EB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0031DA">
        <w:rPr>
          <w:rFonts w:asciiTheme="minorHAnsi" w:hAnsiTheme="minorHAnsi" w:cstheme="minorHAnsi"/>
          <w:b/>
          <w:sz w:val="22"/>
          <w:szCs w:val="22"/>
        </w:rPr>
        <w:t>β.</w:t>
      </w:r>
      <w:r w:rsidR="008B29F1" w:rsidRPr="000031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31DA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4C22F7" w:rsidRPr="000031DA">
        <w:rPr>
          <w:rFonts w:asciiTheme="minorHAnsi" w:hAnsiTheme="minorHAnsi" w:cstheme="minorHAnsi"/>
          <w:b/>
          <w:sz w:val="22"/>
          <w:szCs w:val="22"/>
        </w:rPr>
        <w:t>4</w:t>
      </w:r>
      <w:r w:rsidR="00E879BA" w:rsidRPr="000031DA">
        <w:rPr>
          <w:rFonts w:asciiTheme="minorHAnsi" w:hAnsiTheme="minorHAnsi" w:cstheme="minorHAnsi"/>
          <w:b/>
          <w:sz w:val="22"/>
          <w:szCs w:val="22"/>
        </w:rPr>
        <w:t>934/9.9.2021</w:t>
      </w:r>
      <w:r w:rsidRPr="000031DA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0031DA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0031DA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3C1847" w:rsidRPr="000031DA">
        <w:rPr>
          <w:rFonts w:asciiTheme="minorHAnsi" w:hAnsiTheme="minorHAnsi" w:cstheme="minorHAnsi"/>
          <w:b/>
          <w:sz w:val="22"/>
          <w:szCs w:val="22"/>
        </w:rPr>
        <w:t xml:space="preserve">εργαστηρίου Ι. Βιοπαθολογίας </w:t>
      </w:r>
      <w:r w:rsidR="00974627" w:rsidRPr="000031DA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031DA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031DA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FA539D7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31DA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031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3F7C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E879BA" w:rsidRPr="000031DA">
        <w:rPr>
          <w:rFonts w:asciiTheme="minorHAnsi" w:hAnsiTheme="minorHAnsi" w:cstheme="minorHAnsi"/>
          <w:b/>
          <w:bCs/>
          <w:sz w:val="22"/>
          <w:szCs w:val="22"/>
        </w:rPr>
        <w:t>ριάντα δύο χιλιάδες ευρώ</w:t>
      </w:r>
      <w:r w:rsidR="001C5D73" w:rsidRPr="000031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031DA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0031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9BA" w:rsidRPr="000031D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C22F7" w:rsidRPr="000031DA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E879BA" w:rsidRPr="000031D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4C22F7" w:rsidRPr="000031DA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0031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031DA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031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031DA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031DA">
        <w:rPr>
          <w:rFonts w:asciiTheme="minorHAnsi" w:hAnsiTheme="minorHAnsi" w:cstheme="minorHAnsi"/>
          <w:b/>
          <w:bCs/>
          <w:sz w:val="22"/>
          <w:szCs w:val="22"/>
        </w:rPr>
        <w:t>συ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943F7C">
        <w:tc>
          <w:tcPr>
            <w:tcW w:w="2934" w:type="dxa"/>
          </w:tcPr>
          <w:p w14:paraId="1FFC58B1" w14:textId="77777777" w:rsidR="00A63ADE" w:rsidRPr="00911C65" w:rsidRDefault="00A63ADE" w:rsidP="004C22F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4C22F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1C65" w14:paraId="33DA689E" w14:textId="77777777" w:rsidTr="00943F7C">
        <w:trPr>
          <w:trHeight w:val="638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4C22F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5AF54F8" w:rsidR="00A63ADE" w:rsidRPr="003C1847" w:rsidRDefault="003C1847" w:rsidP="004C22F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Σεπτεμβρίου 2021</w:t>
            </w:r>
          </w:p>
        </w:tc>
      </w:tr>
    </w:tbl>
    <w:p w14:paraId="480A0F5D" w14:textId="2D452AEB" w:rsidR="00222B9B" w:rsidRPr="00911C65" w:rsidRDefault="004C22F7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textWrapping" w:clear="all"/>
      </w: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1C6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69AD2637" w:rsidR="00A63ADE" w:rsidRPr="00911C65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3621D9" w:rsidRPr="005C6191">
              <w:rPr>
                <w:lang w:val="en-US"/>
              </w:rPr>
              <w:fldChar w:fldCharType="begin"/>
            </w:r>
            <w:r w:rsidR="003621D9" w:rsidRPr="005C6191">
              <w:instrText xml:space="preserve"> </w:instrText>
            </w:r>
            <w:r w:rsidR="003621D9" w:rsidRPr="005C6191">
              <w:rPr>
                <w:lang w:val="en-US"/>
              </w:rPr>
              <w:instrText>HYPERLINK</w:instrText>
            </w:r>
            <w:r w:rsidR="003621D9" w:rsidRPr="005C6191">
              <w:instrText xml:space="preserve"> "</w:instrText>
            </w:r>
            <w:r w:rsidR="003621D9" w:rsidRPr="005C6191">
              <w:rPr>
                <w:lang w:val="en-US"/>
              </w:rPr>
              <w:instrText>mailto</w:instrText>
            </w:r>
            <w:r w:rsidR="003621D9" w:rsidRPr="005C6191">
              <w:instrText>:</w:instrText>
            </w:r>
            <w:r w:rsidR="003621D9" w:rsidRPr="005C6191">
              <w:rPr>
                <w:lang w:val="en-US"/>
              </w:rPr>
              <w:instrText>supplies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3621D9" w:rsidRPr="005C6191">
              <w:instrText xml:space="preserve">" </w:instrText>
            </w:r>
            <w:r w:rsidR="003621D9" w:rsidRPr="005C6191">
              <w:rPr>
                <w:lang w:val="en-US"/>
              </w:rPr>
              <w:fldChar w:fldCharType="separate"/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0"/>
            <w:r w:rsidR="003621D9" w:rsidRPr="005C6191">
              <w:rPr>
                <w:lang w:val="en-US"/>
              </w:rPr>
              <w:fldChar w:fldCharType="end"/>
            </w:r>
            <w:r w:rsidR="003621D9">
              <w:t xml:space="preserve"> </w:t>
            </w:r>
            <w:r w:rsidR="00F04FF1" w:rsidRPr="00911C65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1C65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6E3EA85C" w:rsidR="00A63ADE" w:rsidRPr="00CF7F5E" w:rsidRDefault="003C1847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 Σεπτεμβρίου 2021</w:t>
            </w:r>
          </w:p>
        </w:tc>
        <w:tc>
          <w:tcPr>
            <w:tcW w:w="1417" w:type="dxa"/>
            <w:vAlign w:val="center"/>
          </w:tcPr>
          <w:p w14:paraId="38775487" w14:textId="79351B03" w:rsidR="00A63ADE" w:rsidRPr="00911C65" w:rsidRDefault="003C1847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342F4E7B" w:rsidR="000D1F68" w:rsidRPr="00C97517" w:rsidRDefault="000D1F68" w:rsidP="004171EE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7517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633C9D6" w14:textId="4A132224" w:rsidR="00201DD2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</w:t>
      </w:r>
      <w:r w:rsidRPr="004171EE">
        <w:rPr>
          <w:rFonts w:asciiTheme="minorHAnsi" w:hAnsiTheme="minorHAnsi" w:cstheme="minorHAnsi"/>
          <w:sz w:val="22"/>
          <w:szCs w:val="22"/>
        </w:rPr>
        <w:t xml:space="preserve">συλλογή προσφορών για </w:t>
      </w:r>
      <w:r w:rsidR="000031DA" w:rsidRPr="004171EE">
        <w:rPr>
          <w:rFonts w:asciiTheme="minorHAnsi" w:hAnsiTheme="minorHAnsi" w:cstheme="minorHAnsi"/>
          <w:sz w:val="22"/>
          <w:szCs w:val="22"/>
        </w:rPr>
        <w:t xml:space="preserve">την αγορά αντιδραστηρίων Τροπονίνης και </w:t>
      </w:r>
      <w:r w:rsidR="000031DA" w:rsidRPr="004171EE">
        <w:rPr>
          <w:rFonts w:asciiTheme="minorHAnsi" w:hAnsiTheme="minorHAnsi" w:cstheme="minorHAnsi"/>
          <w:sz w:val="22"/>
          <w:szCs w:val="22"/>
          <w:lang w:val="en-US"/>
        </w:rPr>
        <w:t>D</w:t>
      </w:r>
      <w:r w:rsidR="000031DA" w:rsidRPr="004171EE">
        <w:rPr>
          <w:rFonts w:asciiTheme="minorHAnsi" w:hAnsiTheme="minorHAnsi" w:cstheme="minorHAnsi"/>
          <w:sz w:val="22"/>
          <w:szCs w:val="22"/>
        </w:rPr>
        <w:t>-</w:t>
      </w:r>
      <w:r w:rsidR="004171EE" w:rsidRPr="004171EE">
        <w:rPr>
          <w:rFonts w:asciiTheme="minorHAnsi" w:hAnsiTheme="minorHAnsi" w:cstheme="minorHAnsi"/>
          <w:sz w:val="22"/>
          <w:szCs w:val="22"/>
          <w:lang w:val="en-US"/>
        </w:rPr>
        <w:t>Dimer</w:t>
      </w:r>
      <w:r w:rsidR="004171EE" w:rsidRPr="004171EE">
        <w:rPr>
          <w:rFonts w:asciiTheme="minorHAnsi" w:hAnsiTheme="minorHAnsi" w:cstheme="minorHAnsi"/>
          <w:sz w:val="22"/>
          <w:szCs w:val="22"/>
        </w:rPr>
        <w:t xml:space="preserve"> με σύνοδο εξοπλισμό για το εργαστήριο της Ι. Βιοπαθολογίας του </w:t>
      </w:r>
      <w:r w:rsidR="00A32B51" w:rsidRPr="004171EE">
        <w:rPr>
          <w:rFonts w:asciiTheme="minorHAnsi" w:hAnsiTheme="minorHAnsi" w:cstheme="minorHAnsi"/>
          <w:sz w:val="22"/>
          <w:szCs w:val="22"/>
        </w:rPr>
        <w:t xml:space="preserve"> Γ.Ν. Θήρας</w:t>
      </w:r>
      <w:r w:rsidR="004171EE" w:rsidRPr="004171EE">
        <w:rPr>
          <w:rFonts w:asciiTheme="minorHAnsi" w:hAnsiTheme="minorHAnsi" w:cstheme="minorHAnsi"/>
          <w:sz w:val="22"/>
          <w:szCs w:val="22"/>
        </w:rPr>
        <w:t xml:space="preserve"> </w:t>
      </w:r>
      <w:r w:rsidR="005C7904" w:rsidRPr="004171EE">
        <w:rPr>
          <w:rFonts w:asciiTheme="minorHAnsi" w:hAnsiTheme="minorHAnsi" w:cstheme="minorHAnsi"/>
          <w:sz w:val="22"/>
          <w:szCs w:val="22"/>
        </w:rPr>
        <w:t>για</w:t>
      </w:r>
      <w:r w:rsidR="003849D8" w:rsidRPr="004171EE">
        <w:rPr>
          <w:rFonts w:asciiTheme="minorHAnsi" w:hAnsiTheme="minorHAnsi" w:cstheme="minorHAnsi"/>
          <w:sz w:val="22"/>
          <w:szCs w:val="22"/>
        </w:rPr>
        <w:t xml:space="preserve"> 12</w:t>
      </w:r>
      <w:r w:rsidR="005C7904" w:rsidRPr="004171EE">
        <w:rPr>
          <w:rFonts w:asciiTheme="minorHAnsi" w:hAnsiTheme="minorHAnsi" w:cstheme="minorHAnsi"/>
          <w:sz w:val="22"/>
          <w:szCs w:val="22"/>
        </w:rPr>
        <w:t xml:space="preserve"> μήνες. Τα αιτούμενα  </w:t>
      </w:r>
      <w:r w:rsidR="006F2549" w:rsidRPr="004171EE">
        <w:rPr>
          <w:rFonts w:asciiTheme="minorHAnsi" w:hAnsiTheme="minorHAnsi" w:cstheme="minorHAnsi"/>
          <w:sz w:val="22"/>
          <w:szCs w:val="22"/>
        </w:rPr>
        <w:t>αναφέρονται</w:t>
      </w:r>
      <w:r w:rsidR="00943F7C">
        <w:rPr>
          <w:rFonts w:asciiTheme="minorHAnsi" w:hAnsiTheme="minorHAnsi" w:cstheme="minorHAnsi"/>
          <w:sz w:val="22"/>
          <w:szCs w:val="22"/>
        </w:rPr>
        <w:t xml:space="preserve"> στον παρακάτω πίνακα και θα πρέπει να πληρούνται οι παρακάτω αναφερόμενες</w:t>
      </w:r>
      <w:r w:rsidR="005C7904" w:rsidRPr="004171EE">
        <w:rPr>
          <w:rFonts w:asciiTheme="minorHAnsi" w:hAnsiTheme="minorHAnsi" w:cstheme="minorHAnsi"/>
          <w:sz w:val="22"/>
          <w:szCs w:val="22"/>
        </w:rPr>
        <w:t xml:space="preserve"> τεχνικές προδιαγραφές.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663"/>
        <w:gridCol w:w="1413"/>
        <w:gridCol w:w="1828"/>
      </w:tblGrid>
      <w:tr w:rsidR="00943F7C" w:rsidRPr="00943F7C" w14:paraId="3468FD3A" w14:textId="77777777" w:rsidTr="00943F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F144" w14:textId="77777777" w:rsidR="00943F7C" w:rsidRPr="00943F7C" w:rsidRDefault="00943F7C" w:rsidP="00943F7C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3F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930D" w14:textId="77777777" w:rsidR="00943F7C" w:rsidRPr="00943F7C" w:rsidRDefault="00943F7C" w:rsidP="00943F7C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3F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ΑΙΤΟΥΜΕΝΑ ΑΝΤΙΔΡΑΣΤΗΡΙΑ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08ED" w14:textId="77777777" w:rsidR="00943F7C" w:rsidRPr="00943F7C" w:rsidRDefault="00943F7C" w:rsidP="00943F7C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3F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Μ/Μ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5692" w14:textId="77777777" w:rsidR="00943F7C" w:rsidRPr="00943F7C" w:rsidRDefault="00943F7C" w:rsidP="00943F7C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3F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ΠΟΣΟΤΗΤΑ</w:t>
            </w:r>
          </w:p>
        </w:tc>
      </w:tr>
      <w:tr w:rsidR="00943F7C" w14:paraId="2A68C1E1" w14:textId="77777777" w:rsidTr="00943F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59E9" w14:textId="77777777" w:rsidR="00943F7C" w:rsidRPr="00943F7C" w:rsidRDefault="00943F7C" w:rsidP="00943F7C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3F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1032" w14:textId="77777777" w:rsidR="00943F7C" w:rsidRPr="00943F7C" w:rsidRDefault="00943F7C" w:rsidP="00943F7C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3F7C">
              <w:rPr>
                <w:rFonts w:asciiTheme="minorHAnsi" w:hAnsiTheme="minorHAnsi" w:cstheme="minorHAnsi"/>
                <w:sz w:val="22"/>
                <w:szCs w:val="22"/>
              </w:rPr>
              <w:t>Hs -ΤnΙ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0BC1" w14:textId="77777777" w:rsidR="00943F7C" w:rsidRPr="00943F7C" w:rsidRDefault="00943F7C" w:rsidP="00943F7C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3F7C">
              <w:rPr>
                <w:rFonts w:asciiTheme="minorHAnsi" w:hAnsiTheme="minorHAnsi" w:cstheme="minorHAnsi"/>
                <w:sz w:val="22"/>
                <w:szCs w:val="22"/>
              </w:rPr>
              <w:t>TEST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D0CA" w14:textId="77777777" w:rsidR="00943F7C" w:rsidRPr="00943F7C" w:rsidRDefault="00943F7C" w:rsidP="00943F7C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3F7C">
              <w:rPr>
                <w:rFonts w:asciiTheme="minorHAnsi" w:hAnsiTheme="minorHAnsi" w:cstheme="minorHAnsi"/>
                <w:sz w:val="22"/>
                <w:szCs w:val="22"/>
              </w:rPr>
              <w:t>1980</w:t>
            </w:r>
          </w:p>
        </w:tc>
      </w:tr>
      <w:tr w:rsidR="00943F7C" w14:paraId="7E291C79" w14:textId="77777777" w:rsidTr="00943F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AF2E" w14:textId="77777777" w:rsidR="00943F7C" w:rsidRPr="00943F7C" w:rsidRDefault="00943F7C" w:rsidP="00943F7C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3F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3468" w14:textId="77777777" w:rsidR="00943F7C" w:rsidRPr="00943F7C" w:rsidRDefault="00943F7C" w:rsidP="00943F7C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3F7C">
              <w:rPr>
                <w:rFonts w:asciiTheme="minorHAnsi" w:hAnsiTheme="minorHAnsi" w:cstheme="minorHAnsi"/>
                <w:sz w:val="22"/>
                <w:szCs w:val="22"/>
              </w:rPr>
              <w:t>D-DIMER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3234" w14:textId="77777777" w:rsidR="00943F7C" w:rsidRPr="00943F7C" w:rsidRDefault="00943F7C" w:rsidP="00943F7C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3F7C">
              <w:rPr>
                <w:rFonts w:asciiTheme="minorHAnsi" w:hAnsiTheme="minorHAnsi" w:cstheme="minorHAnsi"/>
                <w:sz w:val="22"/>
                <w:szCs w:val="22"/>
              </w:rPr>
              <w:t>TEST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C61D" w14:textId="77777777" w:rsidR="00943F7C" w:rsidRPr="00943F7C" w:rsidRDefault="00943F7C" w:rsidP="00943F7C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3F7C">
              <w:rPr>
                <w:rFonts w:asciiTheme="minorHAnsi" w:hAnsiTheme="minorHAnsi" w:cstheme="minorHAnsi"/>
                <w:sz w:val="22"/>
                <w:szCs w:val="22"/>
              </w:rPr>
              <w:t>1800</w:t>
            </w:r>
          </w:p>
        </w:tc>
      </w:tr>
    </w:tbl>
    <w:p w14:paraId="5B11A20F" w14:textId="77777777" w:rsidR="00943F7C" w:rsidRDefault="00943F7C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28B1B21" w14:textId="029901E0" w:rsidR="004171EE" w:rsidRDefault="004171EE" w:rsidP="004171EE">
      <w:pPr>
        <w:pStyle w:val="a7"/>
        <w:spacing w:before="100" w:beforeAutospacing="1" w:after="100" w:afterAutospacing="1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ΠΡΟΔΙΑΓΡΑΦΕΣ ΑΥΤΟΜΑΤΟΥ ΑΝΑΛΥΤΗ ΜΕΤΡΗΣΗΣ ΚΑΡΔΙΑΚΩΝ ΒΙΟΔΕΙΚΤΩ</w:t>
      </w:r>
      <w:r w:rsidR="00943F7C">
        <w:rPr>
          <w:rFonts w:asciiTheme="minorHAnsi" w:hAnsiTheme="minorHAnsi" w:cstheme="minorHAnsi"/>
          <w:b/>
          <w:bCs/>
          <w:sz w:val="22"/>
          <w:szCs w:val="22"/>
        </w:rPr>
        <w:t>Ν</w:t>
      </w:r>
    </w:p>
    <w:p w14:paraId="1AFF9098" w14:textId="77777777" w:rsidR="004171EE" w:rsidRDefault="004171EE" w:rsidP="004171EE">
      <w:pPr>
        <w:pStyle w:val="a7"/>
        <w:spacing w:before="100" w:beforeAutospacing="1" w:after="100" w:afterAutospacing="1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B460F1" w14:textId="483E8BEF" w:rsidR="004171EE" w:rsidRPr="004171EE" w:rsidRDefault="004171EE" w:rsidP="00943F7C">
      <w:pPr>
        <w:pStyle w:val="a7"/>
        <w:spacing w:before="100" w:beforeAutospacing="1" w:after="100" w:afterAutospacing="1"/>
        <w:ind w:left="0"/>
        <w:rPr>
          <w:rFonts w:asciiTheme="minorHAnsi" w:hAnsiTheme="minorHAnsi" w:cstheme="minorHAnsi"/>
          <w:sz w:val="22"/>
          <w:szCs w:val="22"/>
        </w:rPr>
      </w:pPr>
      <w:r w:rsidRPr="004171EE">
        <w:rPr>
          <w:rFonts w:asciiTheme="minorHAnsi" w:hAnsiTheme="minorHAnsi" w:cstheme="minorHAnsi"/>
          <w:sz w:val="22"/>
          <w:szCs w:val="22"/>
        </w:rPr>
        <w:t xml:space="preserve">Να είναι της πλέον σύγχρονης τεχνολογίας, </w:t>
      </w:r>
      <w:r w:rsidRPr="004171EE">
        <w:rPr>
          <w:rFonts w:asciiTheme="minorHAnsi" w:hAnsiTheme="minorHAnsi" w:cstheme="minorHAnsi"/>
          <w:sz w:val="22"/>
          <w:szCs w:val="22"/>
          <w:lang w:val="en-US"/>
        </w:rPr>
        <w:t>random</w:t>
      </w:r>
      <w:r w:rsidRPr="004171EE">
        <w:rPr>
          <w:rFonts w:asciiTheme="minorHAnsi" w:hAnsiTheme="minorHAnsi" w:cstheme="minorHAnsi"/>
          <w:sz w:val="22"/>
          <w:szCs w:val="22"/>
        </w:rPr>
        <w:t xml:space="preserve"> </w:t>
      </w:r>
      <w:r w:rsidRPr="004171EE">
        <w:rPr>
          <w:rFonts w:asciiTheme="minorHAnsi" w:hAnsiTheme="minorHAnsi" w:cstheme="minorHAnsi"/>
          <w:sz w:val="22"/>
          <w:szCs w:val="22"/>
          <w:lang w:val="en-US"/>
        </w:rPr>
        <w:t>access</w:t>
      </w:r>
      <w:r w:rsidRPr="004171EE">
        <w:rPr>
          <w:rFonts w:asciiTheme="minorHAnsi" w:hAnsiTheme="minorHAnsi" w:cstheme="minorHAnsi"/>
          <w:sz w:val="22"/>
          <w:szCs w:val="22"/>
        </w:rPr>
        <w:t xml:space="preserve"> και να μετράει αυτόματα  και ποσοτικά σε όλο το εύρος τιμών τους την </w:t>
      </w:r>
      <w:r w:rsidRPr="004171EE">
        <w:rPr>
          <w:rFonts w:asciiTheme="minorHAnsi" w:hAnsiTheme="minorHAnsi" w:cstheme="minorHAnsi"/>
          <w:sz w:val="22"/>
          <w:szCs w:val="22"/>
          <w:lang w:val="en-US"/>
        </w:rPr>
        <w:t>hs</w:t>
      </w:r>
      <w:r w:rsidRPr="004171EE">
        <w:rPr>
          <w:rFonts w:asciiTheme="minorHAnsi" w:hAnsiTheme="minorHAnsi" w:cstheme="minorHAnsi"/>
          <w:sz w:val="22"/>
          <w:szCs w:val="22"/>
        </w:rPr>
        <w:t>-</w:t>
      </w:r>
      <w:r w:rsidRPr="004171EE">
        <w:rPr>
          <w:rFonts w:asciiTheme="minorHAnsi" w:hAnsiTheme="minorHAnsi" w:cstheme="minorHAnsi"/>
          <w:sz w:val="22"/>
          <w:szCs w:val="22"/>
          <w:lang w:val="en-US"/>
        </w:rPr>
        <w:t>TnI</w:t>
      </w:r>
      <w:r w:rsidRPr="004171EE">
        <w:rPr>
          <w:rFonts w:asciiTheme="minorHAnsi" w:hAnsiTheme="minorHAnsi" w:cstheme="minorHAnsi"/>
          <w:sz w:val="22"/>
          <w:szCs w:val="22"/>
        </w:rPr>
        <w:t xml:space="preserve"> Υψηλής ευαισθησίας Τροπονίνη Ι με εύρος  (0.0023 – 50 </w:t>
      </w:r>
      <w:r w:rsidRPr="004171EE">
        <w:rPr>
          <w:rFonts w:asciiTheme="minorHAnsi" w:hAnsiTheme="minorHAnsi" w:cstheme="minorHAnsi"/>
          <w:sz w:val="22"/>
          <w:szCs w:val="22"/>
          <w:lang w:val="en-US"/>
        </w:rPr>
        <w:t>ng</w:t>
      </w:r>
      <w:r w:rsidRPr="004171EE">
        <w:rPr>
          <w:rFonts w:asciiTheme="minorHAnsi" w:hAnsiTheme="minorHAnsi" w:cstheme="minorHAnsi"/>
          <w:sz w:val="22"/>
          <w:szCs w:val="22"/>
        </w:rPr>
        <w:t>/</w:t>
      </w:r>
      <w:r w:rsidRPr="004171EE">
        <w:rPr>
          <w:rFonts w:asciiTheme="minorHAnsi" w:hAnsiTheme="minorHAnsi" w:cstheme="minorHAnsi"/>
          <w:sz w:val="22"/>
          <w:szCs w:val="22"/>
          <w:lang w:val="en-US"/>
        </w:rPr>
        <w:t>ml</w:t>
      </w:r>
      <w:r w:rsidRPr="004171EE">
        <w:rPr>
          <w:rFonts w:asciiTheme="minorHAnsi" w:hAnsiTheme="minorHAnsi" w:cstheme="minorHAnsi"/>
          <w:sz w:val="22"/>
          <w:szCs w:val="22"/>
        </w:rPr>
        <w:t>) σύμφωνα με τις διεθνείς κατευθυντήριες οδηγίες (</w:t>
      </w:r>
      <w:r w:rsidRPr="004171EE">
        <w:rPr>
          <w:rFonts w:asciiTheme="minorHAnsi" w:hAnsiTheme="minorHAnsi" w:cstheme="minorHAnsi"/>
          <w:sz w:val="22"/>
          <w:szCs w:val="22"/>
          <w:lang w:val="en-US"/>
        </w:rPr>
        <w:t>IFCC</w:t>
      </w:r>
      <w:r w:rsidRPr="004171EE">
        <w:rPr>
          <w:rFonts w:asciiTheme="minorHAnsi" w:hAnsiTheme="minorHAnsi" w:cstheme="minorHAnsi"/>
          <w:sz w:val="22"/>
          <w:szCs w:val="22"/>
        </w:rPr>
        <w:t xml:space="preserve">, </w:t>
      </w:r>
      <w:r w:rsidRPr="004171EE">
        <w:rPr>
          <w:rFonts w:asciiTheme="minorHAnsi" w:hAnsiTheme="minorHAnsi" w:cstheme="minorHAnsi"/>
          <w:sz w:val="22"/>
          <w:szCs w:val="22"/>
          <w:lang w:val="en-US"/>
        </w:rPr>
        <w:t>ECS</w:t>
      </w:r>
      <w:r w:rsidRPr="004171EE">
        <w:rPr>
          <w:rFonts w:asciiTheme="minorHAnsi" w:hAnsiTheme="minorHAnsi" w:cstheme="minorHAnsi"/>
          <w:sz w:val="22"/>
          <w:szCs w:val="22"/>
        </w:rPr>
        <w:t>) για τη διάγνωση του ΑΜΙ σε ολικό αίμα ,ορό, πλάσμα ώστε να μπορεί να εφαρμοστεί το πρωτόκολλο 1 ώρας</w:t>
      </w:r>
    </w:p>
    <w:p w14:paraId="5AC42C5C" w14:textId="77777777" w:rsidR="004171EE" w:rsidRPr="004171EE" w:rsidRDefault="004171EE" w:rsidP="00943F7C">
      <w:pPr>
        <w:rPr>
          <w:rFonts w:asciiTheme="minorHAnsi" w:hAnsiTheme="minorHAnsi" w:cstheme="minorHAnsi"/>
          <w:sz w:val="22"/>
          <w:szCs w:val="22"/>
        </w:rPr>
      </w:pPr>
      <w:r w:rsidRPr="004171EE">
        <w:rPr>
          <w:rFonts w:asciiTheme="minorHAnsi" w:hAnsiTheme="minorHAnsi" w:cstheme="minorHAnsi"/>
          <w:sz w:val="22"/>
          <w:szCs w:val="22"/>
        </w:rPr>
        <w:t xml:space="preserve">Να έχει την δυνατότητα να μετρά επιπλέον </w:t>
      </w:r>
      <w:r w:rsidRPr="00943F7C">
        <w:rPr>
          <w:rFonts w:asciiTheme="minorHAnsi" w:hAnsiTheme="minorHAnsi" w:cstheme="minorHAnsi"/>
          <w:sz w:val="22"/>
          <w:szCs w:val="22"/>
        </w:rPr>
        <w:t>D</w:t>
      </w:r>
      <w:r w:rsidRPr="004171EE">
        <w:rPr>
          <w:rFonts w:asciiTheme="minorHAnsi" w:hAnsiTheme="minorHAnsi" w:cstheme="minorHAnsi"/>
          <w:sz w:val="22"/>
          <w:szCs w:val="22"/>
        </w:rPr>
        <w:t>-</w:t>
      </w:r>
      <w:r w:rsidRPr="00943F7C">
        <w:rPr>
          <w:rFonts w:asciiTheme="minorHAnsi" w:hAnsiTheme="minorHAnsi" w:cstheme="minorHAnsi"/>
          <w:sz w:val="22"/>
          <w:szCs w:val="22"/>
        </w:rPr>
        <w:t>Dimer</w:t>
      </w:r>
      <w:r w:rsidRPr="004171EE">
        <w:rPr>
          <w:rFonts w:asciiTheme="minorHAnsi" w:hAnsiTheme="minorHAnsi" w:cstheme="minorHAnsi"/>
          <w:sz w:val="22"/>
          <w:szCs w:val="22"/>
        </w:rPr>
        <w:t xml:space="preserve"> σε ολικό αίμα με γραμμικότητα  0,005 -5 μg/ml και cut-off 0.5μg/ml για αποκλεισμό πνευμονικής εμβολής και θρόμβωσης. </w:t>
      </w:r>
    </w:p>
    <w:p w14:paraId="32E6BD3C" w14:textId="77777777" w:rsidR="004171EE" w:rsidRPr="004171EE" w:rsidRDefault="004171EE" w:rsidP="00943F7C">
      <w:pPr>
        <w:rPr>
          <w:rFonts w:asciiTheme="minorHAnsi" w:hAnsiTheme="minorHAnsi" w:cstheme="minorHAnsi"/>
          <w:sz w:val="22"/>
          <w:szCs w:val="22"/>
        </w:rPr>
      </w:pPr>
    </w:p>
    <w:p w14:paraId="58F66B48" w14:textId="77777777" w:rsidR="004171EE" w:rsidRPr="004171EE" w:rsidRDefault="004171EE" w:rsidP="00943F7C">
      <w:pPr>
        <w:rPr>
          <w:rFonts w:asciiTheme="minorHAnsi" w:hAnsiTheme="minorHAnsi" w:cstheme="minorHAnsi"/>
          <w:sz w:val="22"/>
          <w:szCs w:val="22"/>
        </w:rPr>
      </w:pPr>
      <w:r w:rsidRPr="004171EE">
        <w:rPr>
          <w:rFonts w:asciiTheme="minorHAnsi" w:hAnsiTheme="minorHAnsi" w:cstheme="minorHAnsi"/>
          <w:sz w:val="22"/>
          <w:szCs w:val="22"/>
        </w:rPr>
        <w:t>Επιθυμητή η μέτρηση επιπλέον Βιοδεικτών</w:t>
      </w:r>
      <w:r w:rsidRPr="00943F7C">
        <w:rPr>
          <w:rFonts w:asciiTheme="minorHAnsi" w:hAnsiTheme="minorHAnsi" w:cstheme="minorHAnsi"/>
          <w:sz w:val="22"/>
          <w:szCs w:val="22"/>
        </w:rPr>
        <w:t xml:space="preserve"> όπως CK</w:t>
      </w:r>
      <w:r w:rsidRPr="004171EE">
        <w:rPr>
          <w:rFonts w:asciiTheme="minorHAnsi" w:hAnsiTheme="minorHAnsi" w:cstheme="minorHAnsi"/>
          <w:sz w:val="22"/>
          <w:szCs w:val="22"/>
        </w:rPr>
        <w:t>-</w:t>
      </w:r>
      <w:r w:rsidRPr="00943F7C">
        <w:rPr>
          <w:rFonts w:asciiTheme="minorHAnsi" w:hAnsiTheme="minorHAnsi" w:cstheme="minorHAnsi"/>
          <w:sz w:val="22"/>
          <w:szCs w:val="22"/>
        </w:rPr>
        <w:t>MB</w:t>
      </w:r>
      <w:r w:rsidRPr="004171EE">
        <w:rPr>
          <w:rFonts w:asciiTheme="minorHAnsi" w:hAnsiTheme="minorHAnsi" w:cstheme="minorHAnsi"/>
          <w:sz w:val="22"/>
          <w:szCs w:val="22"/>
        </w:rPr>
        <w:t xml:space="preserve"> </w:t>
      </w:r>
      <w:r w:rsidRPr="00943F7C">
        <w:rPr>
          <w:rFonts w:asciiTheme="minorHAnsi" w:hAnsiTheme="minorHAnsi" w:cstheme="minorHAnsi"/>
          <w:sz w:val="22"/>
          <w:szCs w:val="22"/>
        </w:rPr>
        <w:t>mass</w:t>
      </w:r>
      <w:r w:rsidRPr="004171EE">
        <w:rPr>
          <w:rFonts w:asciiTheme="minorHAnsi" w:hAnsiTheme="minorHAnsi" w:cstheme="minorHAnsi"/>
          <w:sz w:val="22"/>
          <w:szCs w:val="22"/>
        </w:rPr>
        <w:t xml:space="preserve"> , </w:t>
      </w:r>
      <w:r w:rsidRPr="00943F7C">
        <w:rPr>
          <w:rFonts w:asciiTheme="minorHAnsi" w:hAnsiTheme="minorHAnsi" w:cstheme="minorHAnsi"/>
          <w:sz w:val="22"/>
          <w:szCs w:val="22"/>
        </w:rPr>
        <w:t>Myoglobin</w:t>
      </w:r>
      <w:r w:rsidRPr="004171EE">
        <w:rPr>
          <w:rFonts w:asciiTheme="minorHAnsi" w:hAnsiTheme="minorHAnsi" w:cstheme="minorHAnsi"/>
          <w:sz w:val="22"/>
          <w:szCs w:val="22"/>
        </w:rPr>
        <w:t xml:space="preserve">, </w:t>
      </w:r>
      <w:r w:rsidRPr="00943F7C">
        <w:rPr>
          <w:rFonts w:asciiTheme="minorHAnsi" w:hAnsiTheme="minorHAnsi" w:cstheme="minorHAnsi"/>
          <w:sz w:val="22"/>
          <w:szCs w:val="22"/>
        </w:rPr>
        <w:t>NT</w:t>
      </w:r>
      <w:r w:rsidRPr="004171EE">
        <w:rPr>
          <w:rFonts w:asciiTheme="minorHAnsi" w:hAnsiTheme="minorHAnsi" w:cstheme="minorHAnsi"/>
          <w:sz w:val="22"/>
          <w:szCs w:val="22"/>
        </w:rPr>
        <w:t>-</w:t>
      </w:r>
      <w:r w:rsidRPr="00943F7C">
        <w:rPr>
          <w:rFonts w:asciiTheme="minorHAnsi" w:hAnsiTheme="minorHAnsi" w:cstheme="minorHAnsi"/>
          <w:sz w:val="22"/>
          <w:szCs w:val="22"/>
        </w:rPr>
        <w:t>proBNP</w:t>
      </w:r>
      <w:r w:rsidRPr="004171EE">
        <w:rPr>
          <w:rFonts w:asciiTheme="minorHAnsi" w:hAnsiTheme="minorHAnsi" w:cstheme="minorHAnsi"/>
          <w:sz w:val="22"/>
          <w:szCs w:val="22"/>
        </w:rPr>
        <w:t>, Η</w:t>
      </w:r>
      <w:r w:rsidRPr="00943F7C">
        <w:rPr>
          <w:rFonts w:asciiTheme="minorHAnsi" w:hAnsiTheme="minorHAnsi" w:cstheme="minorHAnsi"/>
          <w:sz w:val="22"/>
          <w:szCs w:val="22"/>
        </w:rPr>
        <w:t>s</w:t>
      </w:r>
      <w:r w:rsidRPr="004171EE">
        <w:rPr>
          <w:rFonts w:asciiTheme="minorHAnsi" w:hAnsiTheme="minorHAnsi" w:cstheme="minorHAnsi"/>
          <w:sz w:val="22"/>
          <w:szCs w:val="22"/>
        </w:rPr>
        <w:t xml:space="preserve"> </w:t>
      </w:r>
      <w:r w:rsidRPr="00943F7C">
        <w:rPr>
          <w:rFonts w:asciiTheme="minorHAnsi" w:hAnsiTheme="minorHAnsi" w:cstheme="minorHAnsi"/>
          <w:sz w:val="22"/>
          <w:szCs w:val="22"/>
        </w:rPr>
        <w:t>CRP</w:t>
      </w:r>
      <w:r w:rsidRPr="004171EE">
        <w:rPr>
          <w:rFonts w:asciiTheme="minorHAnsi" w:hAnsiTheme="minorHAnsi" w:cstheme="minorHAnsi"/>
          <w:sz w:val="22"/>
          <w:szCs w:val="22"/>
        </w:rPr>
        <w:t xml:space="preserve"> και δεικτών σήψης</w:t>
      </w:r>
    </w:p>
    <w:p w14:paraId="007E83C0" w14:textId="77777777" w:rsidR="004171EE" w:rsidRPr="004171EE" w:rsidRDefault="004171EE" w:rsidP="00943F7C">
      <w:pPr>
        <w:rPr>
          <w:rFonts w:asciiTheme="minorHAnsi" w:hAnsiTheme="minorHAnsi" w:cstheme="minorHAnsi"/>
          <w:sz w:val="22"/>
          <w:szCs w:val="22"/>
        </w:rPr>
      </w:pPr>
    </w:p>
    <w:p w14:paraId="10910105" w14:textId="77777777" w:rsidR="004171EE" w:rsidRPr="004171EE" w:rsidRDefault="004171EE" w:rsidP="00943F7C">
      <w:pPr>
        <w:rPr>
          <w:rFonts w:asciiTheme="minorHAnsi" w:hAnsiTheme="minorHAnsi" w:cstheme="minorHAnsi"/>
          <w:sz w:val="22"/>
          <w:szCs w:val="22"/>
        </w:rPr>
      </w:pPr>
      <w:r w:rsidRPr="004171EE">
        <w:rPr>
          <w:rFonts w:asciiTheme="minorHAnsi" w:hAnsiTheme="minorHAnsi" w:cstheme="minorHAnsi"/>
          <w:sz w:val="22"/>
          <w:szCs w:val="22"/>
        </w:rPr>
        <w:t>Να στηρίζεται στην αρχή της Χημειοφωταύγειας με διαχωρισμό μαγνητικών σωματιδίων, ώστε να επιτυγχάνεται η υψηλή ευαισθησία της μεθόδου</w:t>
      </w:r>
    </w:p>
    <w:p w14:paraId="25E0CD00" w14:textId="77777777" w:rsidR="004171EE" w:rsidRPr="004171EE" w:rsidRDefault="004171EE" w:rsidP="00943F7C">
      <w:pPr>
        <w:rPr>
          <w:rFonts w:asciiTheme="minorHAnsi" w:hAnsiTheme="minorHAnsi" w:cstheme="minorHAnsi"/>
          <w:sz w:val="22"/>
          <w:szCs w:val="22"/>
        </w:rPr>
      </w:pPr>
    </w:p>
    <w:p w14:paraId="3C25301C" w14:textId="77777777" w:rsidR="004171EE" w:rsidRPr="004171EE" w:rsidRDefault="004171EE" w:rsidP="00943F7C">
      <w:pPr>
        <w:rPr>
          <w:rFonts w:asciiTheme="minorHAnsi" w:hAnsiTheme="minorHAnsi" w:cstheme="minorHAnsi"/>
          <w:sz w:val="22"/>
          <w:szCs w:val="22"/>
        </w:rPr>
      </w:pPr>
      <w:r w:rsidRPr="004171EE">
        <w:rPr>
          <w:rFonts w:asciiTheme="minorHAnsi" w:hAnsiTheme="minorHAnsi" w:cstheme="minorHAnsi"/>
          <w:sz w:val="22"/>
          <w:szCs w:val="22"/>
        </w:rPr>
        <w:t xml:space="preserve">Να δέχεται απαραίτητα απ ευθείας δείγμα ολικού αίματος με </w:t>
      </w:r>
      <w:r w:rsidRPr="004171EE">
        <w:rPr>
          <w:rFonts w:asciiTheme="minorHAnsi" w:hAnsiTheme="minorHAnsi" w:cstheme="minorHAnsi"/>
          <w:sz w:val="22"/>
          <w:szCs w:val="22"/>
          <w:lang w:val="en-US"/>
        </w:rPr>
        <w:t>EDTA</w:t>
      </w:r>
      <w:r w:rsidRPr="004171EE">
        <w:rPr>
          <w:rFonts w:asciiTheme="minorHAnsi" w:hAnsiTheme="minorHAnsi" w:cstheme="minorHAnsi"/>
          <w:sz w:val="22"/>
          <w:szCs w:val="22"/>
        </w:rPr>
        <w:t xml:space="preserve">  που να μην ξεπερνά τα 100μ</w:t>
      </w:r>
      <w:r w:rsidRPr="004171EE">
        <w:rPr>
          <w:rFonts w:asciiTheme="minorHAnsi" w:hAnsiTheme="minorHAnsi" w:cstheme="minorHAnsi"/>
          <w:sz w:val="22"/>
          <w:szCs w:val="22"/>
          <w:lang w:val="en-US"/>
        </w:rPr>
        <w:t>l</w:t>
      </w:r>
      <w:r w:rsidRPr="004171EE">
        <w:rPr>
          <w:rFonts w:asciiTheme="minorHAnsi" w:hAnsiTheme="minorHAnsi" w:cstheme="minorHAnsi"/>
          <w:sz w:val="22"/>
          <w:szCs w:val="22"/>
        </w:rPr>
        <w:t>,  ώστε να είναι δυνατή η λήψη αίματος από όλο τον πληθυσμό, παιδιά, ενήλικες, υπερήλικες</w:t>
      </w:r>
    </w:p>
    <w:p w14:paraId="79B37FB7" w14:textId="77777777" w:rsidR="004171EE" w:rsidRPr="004171EE" w:rsidRDefault="004171EE" w:rsidP="00943F7C">
      <w:pPr>
        <w:rPr>
          <w:rStyle w:val="1Char"/>
          <w:rFonts w:asciiTheme="minorHAnsi" w:hAnsiTheme="minorHAnsi" w:cstheme="minorHAnsi"/>
          <w:sz w:val="22"/>
          <w:szCs w:val="22"/>
        </w:rPr>
      </w:pPr>
    </w:p>
    <w:p w14:paraId="76379A65" w14:textId="77777777" w:rsidR="004171EE" w:rsidRPr="00FC1B3B" w:rsidRDefault="004171EE" w:rsidP="00943F7C">
      <w:pPr>
        <w:rPr>
          <w:rStyle w:val="main"/>
          <w:rFonts w:asciiTheme="minorHAnsi" w:hAnsiTheme="minorHAnsi" w:cstheme="minorHAnsi"/>
          <w:b/>
          <w:sz w:val="22"/>
          <w:szCs w:val="22"/>
        </w:rPr>
      </w:pPr>
      <w:r w:rsidRPr="00FC1B3B">
        <w:rPr>
          <w:rStyle w:val="1Char"/>
          <w:rFonts w:asciiTheme="minorHAnsi" w:hAnsiTheme="minorHAnsi" w:cstheme="minorHAnsi"/>
          <w:sz w:val="22"/>
          <w:szCs w:val="22"/>
          <w:u w:val="none"/>
        </w:rPr>
        <w:t>Να είναι αναλυτής  υψηλής ακρίβειας   βάσει των διεθνών κατευθυντηρίων οδηγιών  με CV% χαμηλότερο από 10% στο 99% των φυσιολογικών δειγμάτων στην μέτρηση της Τροπονίνης Ι</w:t>
      </w:r>
      <w:r w:rsidRPr="00FC1B3B">
        <w:rPr>
          <w:rStyle w:val="main"/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4E2B0BE7" w14:textId="77777777" w:rsidR="004171EE" w:rsidRPr="004171EE" w:rsidRDefault="004171EE" w:rsidP="00943F7C">
      <w:pPr>
        <w:rPr>
          <w:rStyle w:val="main"/>
          <w:rFonts w:asciiTheme="minorHAnsi" w:hAnsiTheme="minorHAnsi" w:cstheme="minorHAnsi"/>
          <w:b/>
          <w:sz w:val="22"/>
          <w:szCs w:val="22"/>
        </w:rPr>
      </w:pPr>
    </w:p>
    <w:p w14:paraId="64747675" w14:textId="77777777" w:rsidR="004171EE" w:rsidRPr="004171EE" w:rsidRDefault="004171EE" w:rsidP="00943F7C">
      <w:pPr>
        <w:rPr>
          <w:rFonts w:asciiTheme="minorHAnsi" w:hAnsiTheme="minorHAnsi" w:cstheme="minorHAnsi"/>
          <w:sz w:val="22"/>
          <w:szCs w:val="22"/>
        </w:rPr>
      </w:pPr>
      <w:r w:rsidRPr="004171EE">
        <w:rPr>
          <w:rFonts w:asciiTheme="minorHAnsi" w:hAnsiTheme="minorHAnsi" w:cstheme="minorHAnsi"/>
          <w:sz w:val="22"/>
          <w:szCs w:val="22"/>
        </w:rPr>
        <w:t xml:space="preserve">Η υψηλής ευαισθησίας </w:t>
      </w:r>
      <w:r w:rsidRPr="004171EE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4171EE">
        <w:rPr>
          <w:rFonts w:asciiTheme="minorHAnsi" w:hAnsiTheme="minorHAnsi" w:cstheme="minorHAnsi"/>
          <w:sz w:val="22"/>
          <w:szCs w:val="22"/>
        </w:rPr>
        <w:t xml:space="preserve">ροπονίνη </w:t>
      </w:r>
      <w:r w:rsidRPr="004171EE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4171EE">
        <w:rPr>
          <w:rFonts w:asciiTheme="minorHAnsi" w:hAnsiTheme="minorHAnsi" w:cstheme="minorHAnsi"/>
          <w:sz w:val="22"/>
          <w:szCs w:val="22"/>
        </w:rPr>
        <w:t xml:space="preserve"> να έχει εύρος τιμής από 0,0023 </w:t>
      </w:r>
      <w:r w:rsidRPr="004171EE">
        <w:rPr>
          <w:rFonts w:asciiTheme="minorHAnsi" w:hAnsiTheme="minorHAnsi" w:cstheme="minorHAnsi"/>
          <w:sz w:val="22"/>
          <w:szCs w:val="22"/>
          <w:lang w:val="en-US"/>
        </w:rPr>
        <w:t>ng</w:t>
      </w:r>
      <w:r w:rsidRPr="004171EE">
        <w:rPr>
          <w:rFonts w:asciiTheme="minorHAnsi" w:hAnsiTheme="minorHAnsi" w:cstheme="minorHAnsi"/>
          <w:sz w:val="22"/>
          <w:szCs w:val="22"/>
        </w:rPr>
        <w:t>/</w:t>
      </w:r>
      <w:r w:rsidRPr="004171EE">
        <w:rPr>
          <w:rFonts w:asciiTheme="minorHAnsi" w:hAnsiTheme="minorHAnsi" w:cstheme="minorHAnsi"/>
          <w:sz w:val="22"/>
          <w:szCs w:val="22"/>
          <w:lang w:val="en-US"/>
        </w:rPr>
        <w:t>ml</w:t>
      </w:r>
      <w:r w:rsidRPr="004171EE">
        <w:rPr>
          <w:rFonts w:asciiTheme="minorHAnsi" w:hAnsiTheme="minorHAnsi" w:cstheme="minorHAnsi"/>
          <w:sz w:val="22"/>
          <w:szCs w:val="22"/>
        </w:rPr>
        <w:t xml:space="preserve"> – 50 </w:t>
      </w:r>
      <w:r w:rsidRPr="004171EE">
        <w:rPr>
          <w:rFonts w:asciiTheme="minorHAnsi" w:hAnsiTheme="minorHAnsi" w:cstheme="minorHAnsi"/>
          <w:sz w:val="22"/>
          <w:szCs w:val="22"/>
          <w:lang w:val="en-US"/>
        </w:rPr>
        <w:t>ng</w:t>
      </w:r>
      <w:r w:rsidRPr="004171EE">
        <w:rPr>
          <w:rFonts w:asciiTheme="minorHAnsi" w:hAnsiTheme="minorHAnsi" w:cstheme="minorHAnsi"/>
          <w:sz w:val="22"/>
          <w:szCs w:val="22"/>
        </w:rPr>
        <w:t>/</w:t>
      </w:r>
      <w:r w:rsidRPr="004171EE">
        <w:rPr>
          <w:rFonts w:asciiTheme="minorHAnsi" w:hAnsiTheme="minorHAnsi" w:cstheme="minorHAnsi"/>
          <w:sz w:val="22"/>
          <w:szCs w:val="22"/>
          <w:lang w:val="en-US"/>
        </w:rPr>
        <w:t>ml</w:t>
      </w:r>
      <w:r w:rsidRPr="004171EE">
        <w:rPr>
          <w:rFonts w:asciiTheme="minorHAnsi" w:hAnsiTheme="minorHAnsi" w:cstheme="minorHAnsi"/>
          <w:sz w:val="22"/>
          <w:szCs w:val="22"/>
        </w:rPr>
        <w:t xml:space="preserve">. Να αποδεικνύονται από σχετική βιβλιογραφία </w:t>
      </w:r>
    </w:p>
    <w:p w14:paraId="62F142AA" w14:textId="77777777" w:rsidR="004171EE" w:rsidRPr="004171EE" w:rsidRDefault="004171EE" w:rsidP="00943F7C">
      <w:pPr>
        <w:rPr>
          <w:rFonts w:asciiTheme="minorHAnsi" w:hAnsiTheme="minorHAnsi" w:cstheme="minorHAnsi"/>
          <w:sz w:val="22"/>
          <w:szCs w:val="22"/>
        </w:rPr>
      </w:pPr>
    </w:p>
    <w:p w14:paraId="5C975DA1" w14:textId="77777777" w:rsidR="004171EE" w:rsidRPr="004171EE" w:rsidRDefault="004171EE" w:rsidP="00943F7C">
      <w:pPr>
        <w:rPr>
          <w:rFonts w:asciiTheme="minorHAnsi" w:hAnsiTheme="minorHAnsi" w:cstheme="minorHAnsi"/>
          <w:sz w:val="22"/>
          <w:szCs w:val="22"/>
        </w:rPr>
      </w:pPr>
      <w:r w:rsidRPr="004171EE">
        <w:rPr>
          <w:rFonts w:asciiTheme="minorHAnsi" w:hAnsiTheme="minorHAnsi" w:cstheme="minorHAnsi"/>
          <w:sz w:val="22"/>
          <w:szCs w:val="22"/>
        </w:rPr>
        <w:t>Να έχει τη δυνατότητα ταυτόχρονης μέτρησης  διαφορετικών δειγμάτων ασθενών ή διαφορετικών εξετάσεων .</w:t>
      </w:r>
    </w:p>
    <w:p w14:paraId="35EFDC94" w14:textId="77777777" w:rsidR="004171EE" w:rsidRPr="004171EE" w:rsidRDefault="004171EE" w:rsidP="00943F7C">
      <w:pPr>
        <w:rPr>
          <w:rFonts w:asciiTheme="minorHAnsi" w:hAnsiTheme="minorHAnsi" w:cstheme="minorHAnsi"/>
          <w:sz w:val="22"/>
          <w:szCs w:val="22"/>
        </w:rPr>
      </w:pPr>
    </w:p>
    <w:p w14:paraId="4DEDF39B" w14:textId="77777777" w:rsidR="004171EE" w:rsidRPr="004171EE" w:rsidRDefault="004171EE" w:rsidP="00943F7C">
      <w:pPr>
        <w:rPr>
          <w:rFonts w:asciiTheme="minorHAnsi" w:hAnsiTheme="minorHAnsi" w:cstheme="minorHAnsi"/>
          <w:sz w:val="22"/>
          <w:szCs w:val="22"/>
        </w:rPr>
      </w:pPr>
      <w:r w:rsidRPr="004171EE">
        <w:rPr>
          <w:rFonts w:asciiTheme="minorHAnsi" w:hAnsiTheme="minorHAnsi" w:cstheme="minorHAnsi"/>
          <w:sz w:val="22"/>
          <w:szCs w:val="22"/>
        </w:rPr>
        <w:t xml:space="preserve">Όλα τα αντιδραστήρια να είναι έτοιμα για χρήση, σε μορφή μονοτέστ. Η βαθμονόμηση να γίνεται με υγρά </w:t>
      </w:r>
      <w:r w:rsidRPr="004171EE">
        <w:rPr>
          <w:rFonts w:asciiTheme="minorHAnsi" w:hAnsiTheme="minorHAnsi" w:cstheme="minorHAnsi"/>
          <w:sz w:val="22"/>
          <w:szCs w:val="22"/>
          <w:lang w:val="en-US"/>
        </w:rPr>
        <w:t>calibrators</w:t>
      </w:r>
      <w:r w:rsidRPr="004171EE">
        <w:rPr>
          <w:rFonts w:asciiTheme="minorHAnsi" w:hAnsiTheme="minorHAnsi" w:cstheme="minorHAnsi"/>
          <w:sz w:val="22"/>
          <w:szCs w:val="22"/>
        </w:rPr>
        <w:t xml:space="preserve"> προκειμένου να εξασφαλίζεται η συνθήκη της ακρίβειας των αποτελεσμάτων. </w:t>
      </w:r>
    </w:p>
    <w:p w14:paraId="3CA752FB" w14:textId="77777777" w:rsidR="004171EE" w:rsidRPr="004171EE" w:rsidRDefault="004171EE" w:rsidP="00943F7C">
      <w:pPr>
        <w:rPr>
          <w:rFonts w:asciiTheme="minorHAnsi" w:hAnsiTheme="minorHAnsi" w:cstheme="minorHAnsi"/>
          <w:sz w:val="22"/>
          <w:szCs w:val="22"/>
        </w:rPr>
      </w:pPr>
    </w:p>
    <w:p w14:paraId="654FACD6" w14:textId="3F76211A" w:rsidR="004171EE" w:rsidRDefault="004171EE" w:rsidP="00943F7C">
      <w:pPr>
        <w:rPr>
          <w:rFonts w:asciiTheme="minorHAnsi" w:hAnsiTheme="minorHAnsi" w:cstheme="minorHAnsi"/>
          <w:sz w:val="22"/>
          <w:szCs w:val="22"/>
        </w:rPr>
      </w:pPr>
      <w:r w:rsidRPr="004171EE">
        <w:rPr>
          <w:rFonts w:asciiTheme="minorHAnsi" w:hAnsiTheme="minorHAnsi" w:cstheme="minorHAnsi"/>
          <w:sz w:val="22"/>
          <w:szCs w:val="22"/>
        </w:rPr>
        <w:t xml:space="preserve">Να είναι συνεχούς ετοιμότητας σε βάση 24ώρου και να διαθέτει ενσωματωμένο υπολογιστή, με αρχείο ασθενών,  μεγάλη οθόνη αφής και ενσωματωμένο εκτυπωτή και να συνδέεται με </w:t>
      </w:r>
      <w:r w:rsidRPr="004171EE">
        <w:rPr>
          <w:rFonts w:asciiTheme="minorHAnsi" w:hAnsiTheme="minorHAnsi" w:cstheme="minorHAnsi"/>
          <w:sz w:val="22"/>
          <w:szCs w:val="22"/>
          <w:lang w:val="en-US"/>
        </w:rPr>
        <w:t>LIS</w:t>
      </w:r>
      <w:r w:rsidRPr="004171EE">
        <w:rPr>
          <w:rFonts w:asciiTheme="minorHAnsi" w:hAnsiTheme="minorHAnsi" w:cstheme="minorHAnsi"/>
          <w:sz w:val="22"/>
          <w:szCs w:val="22"/>
        </w:rPr>
        <w:t xml:space="preserve"> . </w:t>
      </w:r>
    </w:p>
    <w:p w14:paraId="5B4FFDB7" w14:textId="77777777" w:rsidR="004171EE" w:rsidRDefault="004171EE" w:rsidP="004171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DA8BFF" w14:textId="29C461B0" w:rsidR="00AC61FB" w:rsidRPr="003C1847" w:rsidRDefault="00AC61FB" w:rsidP="00FC1B3B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C1847">
        <w:rPr>
          <w:rFonts w:cstheme="minorHAnsi"/>
          <w:b/>
          <w:sz w:val="20"/>
          <w:szCs w:val="20"/>
          <w:u w:val="single"/>
        </w:rPr>
        <w:t>ΓΕΝΙΚΟΙ ΟΡΟΙ</w:t>
      </w:r>
      <w:r w:rsidRPr="003C1847">
        <w:rPr>
          <w:rFonts w:cstheme="minorHAnsi"/>
          <w:b/>
          <w:sz w:val="20"/>
          <w:szCs w:val="20"/>
        </w:rPr>
        <w:t xml:space="preserve"> :</w:t>
      </w:r>
    </w:p>
    <w:p w14:paraId="7E2C9EB1" w14:textId="787DC864" w:rsidR="005B113F" w:rsidRPr="003C1847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3C1847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3C1847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3C1847">
        <w:rPr>
          <w:rFonts w:asciiTheme="minorHAnsi" w:hAnsiTheme="minorHAnsi" w:cstheme="minorHAnsi"/>
          <w:sz w:val="22"/>
          <w:szCs w:val="22"/>
        </w:rPr>
        <w:t>60</w:t>
      </w:r>
      <w:r w:rsidR="00A63ADE" w:rsidRPr="003C1847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5752681" w:rsidR="00AC61FB" w:rsidRPr="003C1847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3C1847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3C1847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3C1847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3C1847">
        <w:rPr>
          <w:rFonts w:asciiTheme="minorHAnsi" w:hAnsiTheme="minorHAnsi" w:cstheme="minorHAnsi"/>
          <w:sz w:val="22"/>
          <w:szCs w:val="22"/>
        </w:rPr>
        <w:t>-</w:t>
      </w:r>
      <w:r w:rsidRPr="003C1847">
        <w:rPr>
          <w:rFonts w:asciiTheme="minorHAnsi" w:hAnsiTheme="minorHAnsi" w:cstheme="minorHAnsi"/>
          <w:sz w:val="22"/>
          <w:szCs w:val="22"/>
        </w:rPr>
        <w:t>mail:</w:t>
      </w:r>
      <w:r w:rsidR="00A32B51" w:rsidRPr="003C1847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3621D9" w:rsidRPr="003C184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3621D9" w:rsidRPr="003C1847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3621D9" w:rsidRPr="003C184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3621D9" w:rsidRPr="003C1847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3621D9" w:rsidRPr="003C184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3621D9" w:rsidRPr="003C1847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3621D9" w:rsidRPr="003C184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A32B51" w:rsidRPr="003C1847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3C1847">
        <w:rPr>
          <w:rFonts w:asciiTheme="minorHAnsi" w:hAnsiTheme="minorHAnsi" w:cstheme="minorHAnsi"/>
          <w:sz w:val="22"/>
          <w:szCs w:val="22"/>
        </w:rPr>
        <w:t xml:space="preserve"> </w:t>
      </w:r>
      <w:r w:rsidRPr="003C1847">
        <w:rPr>
          <w:rFonts w:asciiTheme="minorHAnsi" w:hAnsiTheme="minorHAnsi" w:cstheme="minorHAnsi"/>
          <w:sz w:val="22"/>
          <w:szCs w:val="22"/>
        </w:rPr>
        <w:t xml:space="preserve"> έως </w:t>
      </w:r>
      <w:r w:rsidR="003C1847" w:rsidRPr="003C1847">
        <w:rPr>
          <w:rFonts w:asciiTheme="minorHAnsi" w:hAnsiTheme="minorHAnsi" w:cstheme="minorHAnsi"/>
          <w:sz w:val="22"/>
          <w:szCs w:val="22"/>
        </w:rPr>
        <w:t>τις 17</w:t>
      </w:r>
      <w:r w:rsidR="00CF7F5E" w:rsidRPr="003C1847">
        <w:rPr>
          <w:rFonts w:asciiTheme="minorHAnsi" w:hAnsiTheme="minorHAnsi" w:cstheme="minorHAnsi"/>
          <w:sz w:val="22"/>
          <w:szCs w:val="22"/>
        </w:rPr>
        <w:t xml:space="preserve">.09.21 </w:t>
      </w:r>
      <w:r w:rsidR="00222B9B" w:rsidRPr="003C1847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D1F68" w:rsidRPr="003C1847">
        <w:rPr>
          <w:rFonts w:asciiTheme="minorHAnsi" w:hAnsiTheme="minorHAnsi" w:cstheme="minorHAnsi"/>
          <w:sz w:val="22"/>
          <w:szCs w:val="22"/>
        </w:rPr>
        <w:t xml:space="preserve">     </w:t>
      </w:r>
      <w:r w:rsidR="003C1847" w:rsidRPr="003C1847">
        <w:rPr>
          <w:rFonts w:asciiTheme="minorHAnsi" w:hAnsiTheme="minorHAnsi" w:cstheme="minorHAnsi"/>
          <w:sz w:val="22"/>
          <w:szCs w:val="22"/>
        </w:rPr>
        <w:t>Παρασκευή</w:t>
      </w:r>
      <w:r w:rsidR="000D1F68" w:rsidRPr="003C1847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3C1847">
        <w:rPr>
          <w:rFonts w:asciiTheme="minorHAnsi" w:hAnsiTheme="minorHAnsi" w:cstheme="minorHAnsi"/>
          <w:sz w:val="22"/>
          <w:szCs w:val="22"/>
        </w:rPr>
        <w:t xml:space="preserve"> </w:t>
      </w:r>
      <w:r w:rsidRPr="003C1847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15FE9C13" w:rsidR="008E4B05" w:rsidRPr="003C1847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3C1847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3C1847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3C1847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3C1847">
        <w:rPr>
          <w:rFonts w:asciiTheme="minorHAnsi" w:hAnsiTheme="minorHAnsi" w:cstheme="minorHAnsi"/>
          <w:sz w:val="22"/>
          <w:szCs w:val="22"/>
        </w:rPr>
        <w:t xml:space="preserve"> </w:t>
      </w:r>
      <w:r w:rsidR="003C1847" w:rsidRPr="003C1847">
        <w:rPr>
          <w:rFonts w:asciiTheme="minorHAnsi" w:hAnsiTheme="minorHAnsi" w:cstheme="minorHAnsi"/>
          <w:sz w:val="22"/>
          <w:szCs w:val="22"/>
        </w:rPr>
        <w:t>25.01.21</w:t>
      </w:r>
      <w:r w:rsidR="00CE0F82" w:rsidRPr="003C1847">
        <w:rPr>
          <w:rFonts w:asciiTheme="minorHAnsi" w:hAnsiTheme="minorHAnsi" w:cstheme="minorHAnsi"/>
          <w:sz w:val="22"/>
          <w:szCs w:val="22"/>
        </w:rPr>
        <w:t>.80</w:t>
      </w:r>
      <w:r w:rsidR="000D1F68" w:rsidRPr="003C1847">
        <w:rPr>
          <w:rFonts w:asciiTheme="minorHAnsi" w:hAnsiTheme="minorHAnsi" w:cstheme="minorHAnsi"/>
          <w:sz w:val="22"/>
          <w:szCs w:val="22"/>
        </w:rPr>
        <w:t>(</w:t>
      </w:r>
      <w:r w:rsidR="00FF4B6E" w:rsidRPr="003C1847">
        <w:rPr>
          <w:rFonts w:asciiTheme="minorHAnsi" w:hAnsiTheme="minorHAnsi" w:cstheme="minorHAnsi"/>
          <w:sz w:val="22"/>
          <w:szCs w:val="22"/>
        </w:rPr>
        <w:t xml:space="preserve"> </w:t>
      </w:r>
      <w:r w:rsidR="003C1847" w:rsidRPr="003C1847">
        <w:rPr>
          <w:rFonts w:asciiTheme="minorHAnsi" w:hAnsiTheme="minorHAnsi" w:cstheme="minorHAnsi"/>
          <w:sz w:val="22"/>
          <w:szCs w:val="22"/>
        </w:rPr>
        <w:t>Αντιδραστήρια Αναλώσιμα Υλικά</w:t>
      </w:r>
      <w:r w:rsidR="00FF4B6E" w:rsidRPr="003C1847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3C1847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3C1847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3C1847">
        <w:rPr>
          <w:rFonts w:asciiTheme="minorHAnsi" w:hAnsiTheme="minorHAnsi" w:cstheme="minorHAnsi"/>
          <w:sz w:val="22"/>
          <w:szCs w:val="22"/>
        </w:rPr>
        <w:t>2</w:t>
      </w:r>
      <w:r w:rsidR="00DF0E59" w:rsidRPr="003C1847">
        <w:rPr>
          <w:rFonts w:asciiTheme="minorHAnsi" w:hAnsiTheme="minorHAnsi" w:cstheme="minorHAnsi"/>
          <w:sz w:val="22"/>
          <w:szCs w:val="22"/>
        </w:rPr>
        <w:t>1</w:t>
      </w:r>
      <w:r w:rsidR="0031418D" w:rsidRPr="003C1847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3C1847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3C1847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3C18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3C1847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3C1847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3C1847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lastRenderedPageBreak/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FC1B3B">
      <w:headerReference w:type="default" r:id="rId9"/>
      <w:footerReference w:type="default" r:id="rId10"/>
      <w:pgSz w:w="11906" w:h="16838" w:code="9"/>
      <w:pgMar w:top="2041" w:right="1474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6AB5" w14:textId="77777777" w:rsidR="00C402EC" w:rsidRDefault="00C402EC">
      <w:r>
        <w:separator/>
      </w:r>
    </w:p>
  </w:endnote>
  <w:endnote w:type="continuationSeparator" w:id="0">
    <w:p w14:paraId="5D9D9387" w14:textId="77777777" w:rsidR="00C402EC" w:rsidRDefault="00C4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2D5C" w14:textId="77777777" w:rsidR="00C402EC" w:rsidRDefault="00C402EC">
      <w:r>
        <w:separator/>
      </w:r>
    </w:p>
  </w:footnote>
  <w:footnote w:type="continuationSeparator" w:id="0">
    <w:p w14:paraId="5DD120B2" w14:textId="77777777" w:rsidR="00C402EC" w:rsidRDefault="00C4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F63434"/>
    <w:multiLevelType w:val="hybridMultilevel"/>
    <w:tmpl w:val="B42C7524"/>
    <w:lvl w:ilvl="0" w:tplc="0408001B">
      <w:start w:val="1"/>
      <w:numFmt w:val="lowerRoman"/>
      <w:lvlText w:val="%1."/>
      <w:lvlJc w:val="right"/>
      <w:pPr>
        <w:tabs>
          <w:tab w:val="num" w:pos="680"/>
        </w:tabs>
        <w:ind w:left="680" w:hanging="453"/>
      </w:pPr>
      <w:rPr>
        <w:b w:val="0"/>
        <w:i w:val="0"/>
        <w:sz w:val="20"/>
        <w:szCs w:val="2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8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31DA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2170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181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4A37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52D"/>
    <w:rsid w:val="003518FD"/>
    <w:rsid w:val="003548EC"/>
    <w:rsid w:val="00355163"/>
    <w:rsid w:val="00361311"/>
    <w:rsid w:val="003621D9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1847"/>
    <w:rsid w:val="003C439B"/>
    <w:rsid w:val="003C7715"/>
    <w:rsid w:val="003D3B6B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0E63"/>
    <w:rsid w:val="00402CD0"/>
    <w:rsid w:val="004114D9"/>
    <w:rsid w:val="004171EE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22F7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5212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859D1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0F34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3F7C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677F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2755A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97CAF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02EC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7517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0F82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CF7F5E"/>
    <w:rsid w:val="00D02112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879BA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B290F"/>
    <w:rsid w:val="00FC14D6"/>
    <w:rsid w:val="00FC1B3B"/>
    <w:rsid w:val="00FC2837"/>
    <w:rsid w:val="00FC4369"/>
    <w:rsid w:val="00FC4AB9"/>
    <w:rsid w:val="00FC4D71"/>
    <w:rsid w:val="00FD19FC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main">
    <w:name w:val="main"/>
    <w:rsid w:val="004171EE"/>
    <w:rPr>
      <w:rFonts w:ascii="Verdana" w:hAnsi="Verdana" w:hint="default"/>
      <w:color w:val="3E45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</Template>
  <TotalTime>2</TotalTime>
  <Pages>3</Pages>
  <Words>568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4172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ΚΑΤΣΙΒΕΛΗ ΧΡΙΣΤΙΝΑ</cp:lastModifiedBy>
  <cp:revision>3</cp:revision>
  <cp:lastPrinted>2018-09-14T10:29:00Z</cp:lastPrinted>
  <dcterms:created xsi:type="dcterms:W3CDTF">2021-09-13T09:26:00Z</dcterms:created>
  <dcterms:modified xsi:type="dcterms:W3CDTF">2021-09-14T06:13:00Z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