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E6AF" w14:textId="1B929692" w:rsidR="00584A2B" w:rsidRDefault="004965C9" w:rsidP="00921E46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921E46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584A2B" w:rsidRPr="00584A2B">
        <w:rPr>
          <w:rFonts w:asciiTheme="minorHAnsi" w:hAnsiTheme="minorHAnsi" w:cstheme="minorHAnsi"/>
          <w:b/>
          <w:sz w:val="22"/>
          <w:szCs w:val="22"/>
        </w:rPr>
        <w:t>ΑΔΑM</w:t>
      </w:r>
      <w:r w:rsidR="00584A2B">
        <w:rPr>
          <w:rFonts w:asciiTheme="minorHAnsi" w:hAnsiTheme="minorHAnsi" w:cstheme="minorHAnsi"/>
          <w:b/>
          <w:sz w:val="22"/>
          <w:szCs w:val="22"/>
          <w:lang w:val="en-US"/>
        </w:rPr>
        <w:t xml:space="preserve">: </w:t>
      </w:r>
      <w:r w:rsidR="00584A2B" w:rsidRPr="00584A2B">
        <w:rPr>
          <w:rFonts w:asciiTheme="minorHAnsi" w:hAnsiTheme="minorHAnsi" w:cstheme="minorHAnsi"/>
          <w:b/>
          <w:sz w:val="22"/>
          <w:szCs w:val="22"/>
        </w:rPr>
        <w:t>23PROC012196414 2023-02-24</w:t>
      </w:r>
    </w:p>
    <w:p w14:paraId="426017B2" w14:textId="367CD19C" w:rsidR="004A43FC" w:rsidRPr="00015791" w:rsidRDefault="00584A2B" w:rsidP="00584A2B">
      <w:pPr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584A2B">
        <w:rPr>
          <w:rFonts w:asciiTheme="minorHAnsi" w:hAnsiTheme="minorHAnsi" w:cstheme="minorHAnsi"/>
          <w:b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 xml:space="preserve">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0B45" w:rsidRPr="00100B45">
        <w:rPr>
          <w:rFonts w:asciiTheme="minorHAnsi" w:hAnsiTheme="minorHAnsi" w:cstheme="minorHAnsi"/>
          <w:b/>
          <w:sz w:val="22"/>
          <w:szCs w:val="22"/>
        </w:rPr>
        <w:t>ΨΞΥΒΟΡΡ3-2Θ3</w:t>
      </w:r>
    </w:p>
    <w:p w14:paraId="242803F3" w14:textId="38362D72" w:rsidR="00A63ADE" w:rsidRPr="00015791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015791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C3A46">
        <w:rPr>
          <w:rFonts w:asciiTheme="minorHAnsi" w:hAnsiTheme="minorHAnsi" w:cstheme="minorHAnsi"/>
          <w:b/>
          <w:sz w:val="22"/>
          <w:szCs w:val="22"/>
        </w:rPr>
        <w:t>1123/24.02.2023</w:t>
      </w:r>
    </w:p>
    <w:p w14:paraId="74F2EEE3" w14:textId="77777777" w:rsidR="00D22A9A" w:rsidRPr="00015791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015791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015791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5F57961C" w:rsidR="00A63ADE" w:rsidRPr="00015791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015791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15791">
        <w:rPr>
          <w:b/>
        </w:rPr>
        <w:t xml:space="preserve"> 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>τη</w:t>
      </w:r>
      <w:r w:rsidR="00C96B48">
        <w:rPr>
          <w:rFonts w:asciiTheme="minorHAnsi" w:hAnsiTheme="minorHAnsi" w:cstheme="minorHAnsi"/>
          <w:b/>
          <w:sz w:val="22"/>
          <w:szCs w:val="22"/>
        </w:rPr>
        <w:t xml:space="preserve">ν προμήθεια </w:t>
      </w:r>
      <w:r w:rsidR="00FC1CBE">
        <w:rPr>
          <w:rFonts w:asciiTheme="minorHAnsi" w:hAnsiTheme="minorHAnsi" w:cstheme="minorHAnsi"/>
          <w:b/>
          <w:sz w:val="22"/>
          <w:szCs w:val="22"/>
        </w:rPr>
        <w:t xml:space="preserve">ταινιών μέτρησης βιοχημικών παραμέτρων ούρων </w:t>
      </w:r>
      <w:r w:rsidR="00FC1CBE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FC1CBE" w:rsidRPr="00FC1CBE">
        <w:rPr>
          <w:rFonts w:asciiTheme="minorHAnsi" w:hAnsiTheme="minorHAnsi" w:cstheme="minorHAnsi"/>
          <w:b/>
          <w:sz w:val="22"/>
          <w:szCs w:val="22"/>
        </w:rPr>
        <w:t xml:space="preserve">:33124131-2 </w:t>
      </w:r>
      <w:r w:rsidR="00FC1CBE">
        <w:rPr>
          <w:rFonts w:asciiTheme="minorHAnsi" w:hAnsiTheme="minorHAnsi" w:cstheme="minorHAnsi"/>
          <w:b/>
          <w:sz w:val="22"/>
          <w:szCs w:val="22"/>
        </w:rPr>
        <w:t>με συνοδό εξοπλισμό ημιαυτόματο αναλυτή για τις ανάγκες του Γ.Ν. Θήρας για ένα έτος</w:t>
      </w:r>
      <w:r w:rsidR="004759D4" w:rsidRPr="00015791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02519D4E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15791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15791">
        <w:rPr>
          <w:rFonts w:asciiTheme="minorHAnsi" w:hAnsiTheme="minorHAnsi" w:cstheme="minorHAnsi"/>
          <w:b/>
          <w:sz w:val="22"/>
          <w:szCs w:val="22"/>
        </w:rPr>
        <w:t>Την με Αρ. Πρωτ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</w:t>
      </w:r>
      <w:r w:rsidR="00FC1CBE">
        <w:rPr>
          <w:rFonts w:asciiTheme="minorHAnsi" w:hAnsiTheme="minorHAnsi" w:cstheme="minorHAnsi"/>
          <w:b/>
          <w:sz w:val="22"/>
          <w:szCs w:val="22"/>
        </w:rPr>
        <w:t>828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/</w:t>
      </w:r>
      <w:r w:rsidR="00546158">
        <w:rPr>
          <w:rFonts w:asciiTheme="minorHAnsi" w:hAnsiTheme="minorHAnsi" w:cstheme="minorHAnsi"/>
          <w:b/>
          <w:sz w:val="22"/>
          <w:szCs w:val="22"/>
        </w:rPr>
        <w:t>09.02</w:t>
      </w:r>
      <w:r w:rsidR="00015791" w:rsidRPr="00015791">
        <w:rPr>
          <w:rFonts w:asciiTheme="minorHAnsi" w:hAnsiTheme="minorHAnsi" w:cstheme="minorHAnsi"/>
          <w:b/>
          <w:sz w:val="22"/>
          <w:szCs w:val="22"/>
        </w:rPr>
        <w:t>.2</w:t>
      </w:r>
      <w:r w:rsidR="00546158">
        <w:rPr>
          <w:rFonts w:asciiTheme="minorHAnsi" w:hAnsiTheme="minorHAnsi" w:cstheme="minorHAnsi"/>
          <w:b/>
          <w:sz w:val="22"/>
          <w:szCs w:val="22"/>
        </w:rPr>
        <w:t>3</w:t>
      </w:r>
      <w:r w:rsidRPr="00015791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C1CBE">
        <w:rPr>
          <w:rFonts w:asciiTheme="minorHAnsi" w:hAnsiTheme="minorHAnsi" w:cstheme="minorHAnsi"/>
          <w:b/>
          <w:sz w:val="22"/>
          <w:szCs w:val="22"/>
        </w:rPr>
        <w:t>του Βιοπαθολογικού Εργαστηρίου</w:t>
      </w:r>
      <w:r w:rsidR="00DE1F40" w:rsidRPr="0001579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015791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015791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015791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1150F276" w:rsidR="00C8176C" w:rsidRPr="0001579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0157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1CBE">
        <w:rPr>
          <w:rFonts w:asciiTheme="minorHAnsi" w:hAnsiTheme="minorHAnsi" w:cstheme="minorHAnsi"/>
          <w:b/>
          <w:bCs/>
          <w:sz w:val="22"/>
          <w:szCs w:val="22"/>
        </w:rPr>
        <w:t>Χίλια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A32B51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849D8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E1F40" w:rsidRPr="00015791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FC1CBE">
        <w:rPr>
          <w:rFonts w:asciiTheme="minorHAnsi" w:hAnsiTheme="minorHAnsi" w:cstheme="minorHAnsi"/>
          <w:b/>
          <w:bCs/>
          <w:sz w:val="22"/>
          <w:szCs w:val="22"/>
        </w:rPr>
        <w:t>1.0</w:t>
      </w:r>
      <w:r w:rsidR="00107B1D" w:rsidRPr="00107B1D">
        <w:rPr>
          <w:rFonts w:asciiTheme="minorHAnsi" w:hAnsiTheme="minorHAnsi" w:cstheme="minorHAnsi"/>
          <w:b/>
          <w:bCs/>
          <w:sz w:val="22"/>
          <w:szCs w:val="22"/>
        </w:rPr>
        <w:t>00</w:t>
      </w:r>
      <w:r w:rsidR="00921E46">
        <w:rPr>
          <w:rFonts w:asciiTheme="minorHAnsi" w:hAnsiTheme="minorHAnsi" w:cstheme="minorHAnsi"/>
          <w:b/>
          <w:bCs/>
          <w:sz w:val="22"/>
          <w:szCs w:val="22"/>
        </w:rPr>
        <w:t>,00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015791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01579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01579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44D91AD" w:rsidR="00A63ADE" w:rsidRPr="00015791" w:rsidRDefault="008165A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="00C6579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="00C6579E">
              <w:rPr>
                <w:rFonts w:asciiTheme="minorHAnsi" w:hAnsiTheme="minorHAnsi" w:cstheme="minorHAnsi"/>
                <w:sz w:val="22"/>
                <w:szCs w:val="22"/>
              </w:rPr>
              <w:t>Φεβρουαρίου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480A0F5D" w14:textId="77777777" w:rsidR="00222B9B" w:rsidRPr="0001579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015791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15791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01579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015791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01579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01579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01579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0157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01579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534AC34F" w:rsidR="00A63ADE" w:rsidRPr="00015791" w:rsidRDefault="008165A0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7 Μαρτίου </w:t>
            </w:r>
            <w:r w:rsidR="00015791" w:rsidRPr="00015791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107B1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5DAA77D1" w:rsidR="00A63ADE" w:rsidRPr="00015791" w:rsidRDefault="008165A0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01579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1579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167BD8FD" w:rsidR="000D1F68" w:rsidRPr="00D62E99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4B6080" w:rsidRPr="00D62E9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5CB7332A" w14:textId="2442560B" w:rsidR="00921E46" w:rsidRDefault="000D1F68" w:rsidP="00D62E99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15791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4B6080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D62E99" w:rsidRPr="00D62E99">
        <w:rPr>
          <w:rFonts w:asciiTheme="minorHAnsi" w:hAnsiTheme="minorHAnsi" w:cstheme="minorHAnsi"/>
          <w:sz w:val="22"/>
          <w:szCs w:val="22"/>
        </w:rPr>
        <w:t>έξι χιλιάδων (6000) ταινιών βιοχημικών παραμέτρων ούρων (ΚΩΔ CPV: 33124131-2) με συνοδό εξοπλισμό γ</w:t>
      </w:r>
      <w:r w:rsidR="00D62E99">
        <w:rPr>
          <w:rFonts w:asciiTheme="minorHAnsi" w:hAnsiTheme="minorHAnsi" w:cstheme="minorHAnsi"/>
          <w:sz w:val="22"/>
          <w:szCs w:val="22"/>
        </w:rPr>
        <w:t xml:space="preserve">ια τις ανάγκες </w:t>
      </w:r>
      <w:r w:rsidR="008A70F5" w:rsidRPr="004B6080">
        <w:rPr>
          <w:rFonts w:asciiTheme="minorHAnsi" w:hAnsiTheme="minorHAnsi" w:cstheme="minorHAnsi"/>
          <w:sz w:val="22"/>
          <w:szCs w:val="22"/>
        </w:rPr>
        <w:t>του Γ.Ν. Θήρας</w:t>
      </w:r>
      <w:r w:rsidR="004B6080">
        <w:rPr>
          <w:rFonts w:asciiTheme="minorHAnsi" w:hAnsiTheme="minorHAnsi" w:cstheme="minorHAnsi"/>
          <w:sz w:val="22"/>
          <w:szCs w:val="22"/>
        </w:rPr>
        <w:t xml:space="preserve"> </w:t>
      </w:r>
      <w:r w:rsidR="00D62E99">
        <w:rPr>
          <w:rFonts w:asciiTheme="minorHAnsi" w:hAnsiTheme="minorHAnsi" w:cstheme="minorHAnsi"/>
          <w:sz w:val="22"/>
          <w:szCs w:val="22"/>
        </w:rPr>
        <w:t xml:space="preserve">για ένα έτος </w:t>
      </w:r>
      <w:r w:rsidR="004B6080">
        <w:rPr>
          <w:rFonts w:asciiTheme="minorHAnsi" w:hAnsiTheme="minorHAnsi" w:cstheme="minorHAnsi"/>
          <w:sz w:val="22"/>
          <w:szCs w:val="22"/>
        </w:rPr>
        <w:t>σύμφωνα με τις παρακάτω αναλυτικά περιγραφόμενες τεχνικές προδιαγραφές.</w:t>
      </w:r>
    </w:p>
    <w:p w14:paraId="5BD53164" w14:textId="77777777" w:rsidR="00D62E99" w:rsidRDefault="00D62E99" w:rsidP="00D62E99">
      <w:pPr>
        <w:pStyle w:val="Default"/>
        <w:tabs>
          <w:tab w:val="left" w:pos="284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23AA0420" w14:textId="4C6CF8F2" w:rsidR="00D62E99" w:rsidRDefault="00D62E99" w:rsidP="00D62E99">
      <w:pPr>
        <w:pStyle w:val="Defaul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>ΤΕΧΝΙΚΕΣ ΠΡΟΔΙΑΓΡΑΦΕΣ ΗΜΙΑΥΤΟΜΑΤΟΥ ΑΝΑΛΥΤΗ ΑΝΑΓΝΩΣΗΣ ΤΑΙΝΙΩΝ ΟΥΡΩΝ</w:t>
      </w:r>
    </w:p>
    <w:p w14:paraId="701A56FD" w14:textId="0B973409" w:rsidR="00D62E99" w:rsidRPr="00D62E99" w:rsidRDefault="00D62E99" w:rsidP="00D62E99">
      <w:pPr>
        <w:pStyle w:val="Default"/>
        <w:tabs>
          <w:tab w:val="left" w:pos="284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D62E99">
        <w:rPr>
          <w:rFonts w:asciiTheme="minorHAnsi" w:hAnsiTheme="minorHAnsi" w:cstheme="minorHAnsi"/>
          <w:b/>
          <w:bCs/>
          <w:sz w:val="22"/>
          <w:szCs w:val="22"/>
        </w:rPr>
        <w:t>για την εξέταση της ΓΕΝΙΚΗΣ ΟΥΡΩΝ</w:t>
      </w:r>
    </w:p>
    <w:p w14:paraId="3D8824D1" w14:textId="77777777" w:rsidR="00D62E99" w:rsidRPr="00983A7B" w:rsidRDefault="00D62E99" w:rsidP="00D62E99">
      <w:pPr>
        <w:pStyle w:val="Default"/>
        <w:tabs>
          <w:tab w:val="left" w:pos="284"/>
        </w:tabs>
        <w:rPr>
          <w:rFonts w:ascii="Tahoma" w:hAnsi="Tahoma" w:cs="Tahoma"/>
        </w:rPr>
      </w:pPr>
    </w:p>
    <w:tbl>
      <w:tblPr>
        <w:tblW w:w="9068" w:type="dxa"/>
        <w:tblLayout w:type="fixed"/>
        <w:tblLook w:val="0000" w:firstRow="0" w:lastRow="0" w:firstColumn="0" w:lastColumn="0" w:noHBand="0" w:noVBand="0"/>
      </w:tblPr>
      <w:tblGrid>
        <w:gridCol w:w="9068"/>
      </w:tblGrid>
      <w:tr w:rsidR="00D62E99" w:rsidRPr="00D62E99" w14:paraId="35E52153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2AF937F9" w14:textId="77777777" w:rsidR="00D62E99" w:rsidRPr="00D62E99" w:rsidRDefault="00D62E99" w:rsidP="00905F85">
            <w:pPr>
              <w:pStyle w:val="Default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>1. Να λειτουργεί υπό τάση 220V.</w:t>
            </w:r>
          </w:p>
        </w:tc>
      </w:tr>
      <w:tr w:rsidR="00D62E99" w:rsidRPr="00D62E99" w14:paraId="4E680557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323C4D23" w14:textId="77777777" w:rsidR="00D62E99" w:rsidRPr="00D62E99" w:rsidRDefault="00D62E99" w:rsidP="00905F85">
            <w:pPr>
              <w:pStyle w:val="Default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>2. Να είναι σύγχρονης τεχνολογίας και απλός στη χρήση.</w:t>
            </w:r>
          </w:p>
        </w:tc>
      </w:tr>
      <w:tr w:rsidR="00D62E99" w:rsidRPr="00D62E99" w14:paraId="629CBF30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07A1BB57" w14:textId="77777777" w:rsidR="00D62E99" w:rsidRPr="00D62E99" w:rsidRDefault="00D62E99" w:rsidP="00905F85">
            <w:pPr>
              <w:pStyle w:val="Default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3. Να χρησιμοποιεί ταινίες 10 παραμέτρων για τη βιοχημική εξέταση ούρων : Glucose(GLU),Bilirubin(BIL),Ketone(KET),SpecificGravity(SG),Blood(BLO),pH,Protein(PRO),Urobilinogen(URO),Nitrite(NIT),Leukocytes(LEU). 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ι ταινίες να μπορούν να διαβαστούν και οπτικά χωρίς 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την αναγκαιότητα χρήσης του αναλυτή. Οι ταινίες να έχουν μεγάλη ημερομηνία λήξεως (άνω των 18 μηνών).  Η βαθμονόμηση του αναλυτή να γίνεται αυτόματα. </w:t>
            </w:r>
          </w:p>
        </w:tc>
      </w:tr>
      <w:tr w:rsidR="00D62E99" w:rsidRPr="00D62E99" w14:paraId="12B1A47C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325F7253" w14:textId="77777777" w:rsidR="00D62E99" w:rsidRPr="00D62E99" w:rsidRDefault="00D62E99" w:rsidP="00905F85">
            <w:pPr>
              <w:pStyle w:val="Default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4. Να έχει ταχύτητα τουλάχιστον 500 ταινιών ανά ώρα. </w:t>
            </w:r>
          </w:p>
        </w:tc>
      </w:tr>
      <w:tr w:rsidR="00D62E99" w:rsidRPr="00D62E99" w14:paraId="4ACFC5F0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43FFE3B7" w14:textId="77777777" w:rsidR="00D62E99" w:rsidRPr="00D62E99" w:rsidRDefault="00D62E99" w:rsidP="00905F85">
            <w:pPr>
              <w:pStyle w:val="Default"/>
              <w:ind w:left="142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5. Να είναι συνεχούς φόρτωσης . Οι χρόνοι επώασης να τηρούνται αυτόματα εντός του μηχανήματος και επακριβώς ώστε να διασφαλίζεται η ακρίβεια των αποτελεσμάτων. Μετά το πέρας του σταδίου της επώασης η φωτομέτρηση, η εκτύπωση του αποτελέσματος και η απόρριψη της ταινίας στα απόβλητα να πραγματοποιείται αυτομάτως. </w:t>
            </w:r>
          </w:p>
        </w:tc>
      </w:tr>
      <w:tr w:rsidR="00D62E99" w:rsidRPr="00D62E99" w14:paraId="55854DAF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1FE95597" w14:textId="77777777" w:rsidR="00D62E99" w:rsidRPr="00D62E99" w:rsidRDefault="00D62E99" w:rsidP="00905F85">
            <w:pPr>
              <w:pStyle w:val="Default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6. Να διαθέτει μεγάλη οθόνη αφής 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LCD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 καθώς και ενσωματωμένο εκτυπωτή. 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>α διαθέτει εσωτερικό κλειστό χώρο αυτόματης απόρριψης των χρησιμοποιημένων ταινιών για προστασία του χειριστή, εύκολα και άμεσα προσβάσιμο, χωρητικότητας τουλάχιστον 150ταινιών.</w:t>
            </w:r>
          </w:p>
        </w:tc>
      </w:tr>
      <w:tr w:rsidR="00D62E99" w:rsidRPr="00D62E99" w14:paraId="41E136C2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76020584" w14:textId="77777777" w:rsidR="00D62E99" w:rsidRPr="00D62E99" w:rsidRDefault="00D62E99" w:rsidP="00905F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   7. Να έχει τη δυνατότητα δημιουργίας λίστας εργασίας μέσω 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code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reader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 ή χειροκίνητης    </w:t>
            </w:r>
          </w:p>
          <w:p w14:paraId="469A9C14" w14:textId="77777777" w:rsidR="00D62E99" w:rsidRPr="00D62E99" w:rsidRDefault="00D62E99" w:rsidP="00905F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   εισαγωγής στοιχείων μέσω της οθόνης αφής. Μετά τη φόρτωση να  </w:t>
            </w:r>
          </w:p>
          <w:p w14:paraId="3462804F" w14:textId="77777777" w:rsidR="00D62E99" w:rsidRPr="00D62E99" w:rsidRDefault="00D62E99" w:rsidP="00905F8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   ανιχνεύει αυτόματα την κάθε ταινία και να τη συσχετίζει με το 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barcode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 του δείγματος.</w:t>
            </w:r>
          </w:p>
        </w:tc>
      </w:tr>
      <w:tr w:rsidR="00D62E99" w:rsidRPr="00D62E99" w14:paraId="7A43E026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77FE8511" w14:textId="77777777" w:rsidR="00D62E99" w:rsidRPr="00D62E99" w:rsidRDefault="00D62E99" w:rsidP="00905F85">
            <w:pPr>
              <w:pStyle w:val="Default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8. Να διαθέτει μνήμη αποθήκευσης τουλάχιστον 1500 αποτελεσμάτων ασθενών. Να έχει τη δυνατότητα έκφρασης των αποτελεσμάτων σε διάφορες μονάδες (πχ. 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arbitrary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conventional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62E9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ISI</w:t>
            </w: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>) και επίσης να έχει τη δυνατότητα επιλογής της σειράς εκτύπωσης των παραμέτρων. Να έχει τη δυνατότητα ρύθμισης της ευαισθησίας των παραμέτρων για διόρθωση των αποτελεσμάτων.</w:t>
            </w:r>
          </w:p>
        </w:tc>
      </w:tr>
      <w:tr w:rsidR="00D62E99" w:rsidRPr="00D62E99" w14:paraId="701A4910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18FAFF21" w14:textId="77777777" w:rsidR="00D62E99" w:rsidRPr="00D62E99" w:rsidRDefault="00D62E99" w:rsidP="00905F85">
            <w:pPr>
              <w:pStyle w:val="Default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 xml:space="preserve">9. Να διαθέτει υποδοχές αμφίδρομης διασύνδεσης με εξωτερικό Η/Υ και εργαστηριακό LIS.    </w:t>
            </w:r>
          </w:p>
        </w:tc>
      </w:tr>
      <w:tr w:rsidR="00D62E99" w:rsidRPr="00D62E99" w14:paraId="17F39C96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3B71CDDE" w14:textId="77777777" w:rsidR="00D62E99" w:rsidRPr="00D62E99" w:rsidRDefault="00D62E99" w:rsidP="00905F85">
            <w:pPr>
              <w:pStyle w:val="Default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>10. Να έχει εύκολη συντήρηση (καθαρισμό συστήματος διαχείρισης ταινιών και συλλέκτη αποβλήτων)</w:t>
            </w:r>
          </w:p>
        </w:tc>
      </w:tr>
      <w:tr w:rsidR="00D62E99" w:rsidRPr="00D62E99" w14:paraId="3CE4E795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77CADF49" w14:textId="77777777" w:rsidR="00D62E99" w:rsidRPr="00D62E99" w:rsidRDefault="00D62E99" w:rsidP="00905F85">
            <w:pPr>
              <w:pStyle w:val="Default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>11. Να διαθέτει υψηλή ακρίβεια και επαναληψιμότητα.</w:t>
            </w:r>
          </w:p>
        </w:tc>
      </w:tr>
      <w:tr w:rsidR="00D62E99" w:rsidRPr="00D62E99" w14:paraId="59025BB6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349526E8" w14:textId="77777777" w:rsidR="00D62E99" w:rsidRPr="00D62E99" w:rsidRDefault="00D62E99" w:rsidP="00905F85">
            <w:pPr>
              <w:pStyle w:val="Default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>12. Να έχει μικρές διαστάσεις επί πάγκου.</w:t>
            </w:r>
          </w:p>
        </w:tc>
      </w:tr>
      <w:tr w:rsidR="00D62E99" w:rsidRPr="00D62E99" w14:paraId="7272BE28" w14:textId="77777777" w:rsidTr="00905F85">
        <w:trPr>
          <w:trHeight w:val="20"/>
        </w:trPr>
        <w:tc>
          <w:tcPr>
            <w:tcW w:w="9068" w:type="dxa"/>
            <w:vAlign w:val="center"/>
          </w:tcPr>
          <w:p w14:paraId="4A852F41" w14:textId="77777777" w:rsidR="00D62E99" w:rsidRPr="00D62E99" w:rsidRDefault="00D62E99" w:rsidP="00905F85">
            <w:pPr>
              <w:pStyle w:val="Default"/>
              <w:ind w:left="180"/>
              <w:rPr>
                <w:rFonts w:asciiTheme="minorHAnsi" w:hAnsiTheme="minorHAnsi" w:cstheme="minorHAnsi"/>
                <w:sz w:val="22"/>
                <w:szCs w:val="22"/>
              </w:rPr>
            </w:pPr>
            <w:r w:rsidRPr="00D62E99">
              <w:rPr>
                <w:rFonts w:asciiTheme="minorHAnsi" w:hAnsiTheme="minorHAnsi" w:cstheme="minorHAnsi"/>
                <w:sz w:val="22"/>
                <w:szCs w:val="22"/>
              </w:rPr>
              <w:t>13.Τα αναλώσιμα που απορρέουν από την χρήση του αναλυτή(μελάνι,θερμογραφικό χαρτί) να επιβαρύνουν τον προμηθευτή.</w:t>
            </w:r>
          </w:p>
        </w:tc>
      </w:tr>
    </w:tbl>
    <w:p w14:paraId="36F5F3CD" w14:textId="77777777" w:rsidR="00D62E99" w:rsidRPr="00983A7B" w:rsidRDefault="00D62E99" w:rsidP="00D62E99">
      <w:pPr>
        <w:pStyle w:val="Default"/>
        <w:tabs>
          <w:tab w:val="left" w:pos="284"/>
        </w:tabs>
        <w:jc w:val="both"/>
        <w:rPr>
          <w:rFonts w:ascii="Tahoma" w:hAnsi="Tahoma" w:cs="Tahoma"/>
        </w:rPr>
      </w:pPr>
    </w:p>
    <w:p w14:paraId="7CDA8BFF" w14:textId="11B67EA6" w:rsidR="00AC61FB" w:rsidRPr="00107B1D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  <w:u w:val="single"/>
        </w:rPr>
        <w:t>ΓΕΝΙΚΟΙ ΟΡΟΙ</w:t>
      </w:r>
      <w:r w:rsidRPr="00107B1D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E2C9EB1" w14:textId="787DC864" w:rsidR="005B113F" w:rsidRPr="00107B1D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107B1D">
        <w:rPr>
          <w:rFonts w:asciiTheme="minorHAnsi" w:hAnsiTheme="minorHAnsi" w:cstheme="minorHAnsi"/>
          <w:sz w:val="22"/>
          <w:szCs w:val="22"/>
        </w:rPr>
        <w:t>60</w:t>
      </w:r>
      <w:r w:rsidR="00A63ADE" w:rsidRPr="00107B1D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4D0B5DA" w:rsidR="00AC61FB" w:rsidRPr="00107B1D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107B1D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107B1D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107B1D">
        <w:rPr>
          <w:rFonts w:asciiTheme="minorHAnsi" w:hAnsiTheme="minorHAnsi" w:cstheme="minorHAnsi"/>
          <w:sz w:val="22"/>
          <w:szCs w:val="22"/>
        </w:rPr>
        <w:t>-</w:t>
      </w:r>
      <w:r w:rsidRPr="00107B1D">
        <w:rPr>
          <w:rFonts w:asciiTheme="minorHAnsi" w:hAnsiTheme="minorHAnsi" w:cstheme="minorHAnsi"/>
          <w:sz w:val="22"/>
          <w:szCs w:val="22"/>
        </w:rPr>
        <w:t>mail:</w:t>
      </w:r>
      <w:r w:rsidR="00A32B51" w:rsidRPr="00107B1D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107B1D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Pr="00107B1D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107B1D">
        <w:rPr>
          <w:rFonts w:asciiTheme="minorHAnsi" w:hAnsiTheme="minorHAnsi" w:cstheme="minorHAnsi"/>
          <w:sz w:val="22"/>
          <w:szCs w:val="22"/>
        </w:rPr>
        <w:t>35</w:t>
      </w:r>
      <w:r w:rsidR="00D747F7" w:rsidRPr="00107B1D">
        <w:rPr>
          <w:rFonts w:asciiTheme="minorHAnsi" w:hAnsiTheme="minorHAnsi" w:cstheme="minorHAnsi"/>
          <w:sz w:val="22"/>
          <w:szCs w:val="22"/>
        </w:rPr>
        <w:t>459</w:t>
      </w:r>
      <w:r w:rsidRPr="00107B1D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107B1D">
        <w:rPr>
          <w:rFonts w:asciiTheme="minorHAnsi" w:hAnsiTheme="minorHAnsi" w:cstheme="minorHAnsi"/>
          <w:sz w:val="22"/>
          <w:szCs w:val="22"/>
        </w:rPr>
        <w:t>τις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8165A0">
        <w:rPr>
          <w:rFonts w:asciiTheme="minorHAnsi" w:hAnsiTheme="minorHAnsi" w:cstheme="minorHAnsi"/>
          <w:sz w:val="22"/>
          <w:szCs w:val="22"/>
        </w:rPr>
        <w:t>07.03</w:t>
      </w:r>
      <w:r w:rsidR="004C21AE">
        <w:rPr>
          <w:rFonts w:asciiTheme="minorHAnsi" w:hAnsiTheme="minorHAnsi" w:cstheme="minorHAnsi"/>
          <w:sz w:val="22"/>
          <w:szCs w:val="22"/>
        </w:rPr>
        <w:t>.23</w:t>
      </w:r>
      <w:r w:rsidR="00222B9B" w:rsidRPr="00107B1D">
        <w:rPr>
          <w:rFonts w:asciiTheme="minorHAnsi" w:hAnsiTheme="minorHAnsi" w:cstheme="minorHAnsi"/>
          <w:sz w:val="22"/>
          <w:szCs w:val="22"/>
        </w:rPr>
        <w:t xml:space="preserve"> ημέρα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8165A0">
        <w:rPr>
          <w:rFonts w:asciiTheme="minorHAnsi" w:hAnsiTheme="minorHAnsi" w:cstheme="minorHAnsi"/>
          <w:sz w:val="22"/>
          <w:szCs w:val="22"/>
        </w:rPr>
        <w:t>Τρίτη</w:t>
      </w:r>
      <w:r w:rsidR="00015791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Pr="00107B1D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5438DAB" w:rsidR="008E4B05" w:rsidRPr="00107B1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107B1D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8C00A4">
        <w:rPr>
          <w:rFonts w:asciiTheme="minorHAnsi" w:hAnsiTheme="minorHAnsi" w:cstheme="minorHAnsi"/>
          <w:sz w:val="22"/>
          <w:szCs w:val="22"/>
        </w:rPr>
        <w:t>25.01.21</w:t>
      </w:r>
      <w:r w:rsidR="00DE1F40" w:rsidRPr="00107B1D">
        <w:rPr>
          <w:rFonts w:asciiTheme="minorHAnsi" w:hAnsiTheme="minorHAnsi" w:cstheme="minorHAnsi"/>
          <w:sz w:val="22"/>
          <w:szCs w:val="22"/>
        </w:rPr>
        <w:t>.80</w:t>
      </w:r>
      <w:r w:rsidR="00BE5B76" w:rsidRPr="00107B1D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107B1D">
        <w:rPr>
          <w:rFonts w:asciiTheme="minorHAnsi" w:hAnsiTheme="minorHAnsi" w:cstheme="minorHAnsi"/>
          <w:sz w:val="22"/>
          <w:szCs w:val="22"/>
        </w:rPr>
        <w:t>(</w:t>
      </w:r>
      <w:r w:rsidR="008C00A4">
        <w:rPr>
          <w:rFonts w:asciiTheme="minorHAnsi" w:hAnsiTheme="minorHAnsi" w:cstheme="minorHAnsi"/>
          <w:sz w:val="22"/>
          <w:szCs w:val="22"/>
        </w:rPr>
        <w:t>Αντιδραστήρια – Αναλώσιμα Υλικά</w:t>
      </w:r>
      <w:r w:rsidR="000D1F68" w:rsidRPr="00107B1D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107B1D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107B1D">
        <w:rPr>
          <w:rFonts w:asciiTheme="minorHAnsi" w:hAnsiTheme="minorHAnsi" w:cstheme="minorHAnsi"/>
          <w:sz w:val="22"/>
          <w:szCs w:val="22"/>
        </w:rPr>
        <w:t>2</w:t>
      </w:r>
      <w:r w:rsidR="00D17091">
        <w:rPr>
          <w:rFonts w:asciiTheme="minorHAnsi" w:hAnsiTheme="minorHAnsi" w:cstheme="minorHAnsi"/>
          <w:sz w:val="22"/>
          <w:szCs w:val="22"/>
        </w:rPr>
        <w:t>3</w:t>
      </w:r>
      <w:r w:rsidR="0031418D" w:rsidRPr="00107B1D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107B1D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107B1D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107B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107B1D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107B1D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107B1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107B1D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107B1D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107B1D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107B1D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69E11CE1" w14:textId="77777777" w:rsidR="00BA6FEF" w:rsidRPr="00742DCB" w:rsidRDefault="00BA6FEF" w:rsidP="00BA6FEF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C1DC2F8" w14:textId="77777777" w:rsidR="00BA6FEF" w:rsidRPr="00C774F7" w:rsidRDefault="00BA6FEF" w:rsidP="00BA6FEF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774F7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1CCD9F21" w14:textId="77777777" w:rsidR="00BA6FEF" w:rsidRPr="003F7791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F7791">
        <w:rPr>
          <w:rFonts w:asciiTheme="minorHAnsi" w:hAnsiTheme="minorHAnsi" w:cstheme="minorHAnsi"/>
          <w:b/>
          <w:sz w:val="22"/>
          <w:szCs w:val="22"/>
        </w:rPr>
        <w:t xml:space="preserve"> ΕΝΤΕΤΑΛΜΕΝ</w:t>
      </w:r>
      <w:r>
        <w:rPr>
          <w:rFonts w:asciiTheme="minorHAnsi" w:hAnsiTheme="minorHAnsi" w:cstheme="minorHAnsi"/>
          <w:b/>
          <w:sz w:val="22"/>
          <w:szCs w:val="22"/>
        </w:rPr>
        <w:t>Η</w:t>
      </w:r>
      <w:r w:rsidRPr="003F7791"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175E725B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5DDD5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22C06E1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6E1098B0" w14:textId="77777777" w:rsidR="00BA6FEF" w:rsidRPr="003F7791" w:rsidRDefault="00BA6FEF" w:rsidP="00BA6FEF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0DBE8590" w14:textId="77777777" w:rsidR="00BA6FEF" w:rsidRPr="003F7791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16A5D3" w14:textId="77777777" w:rsidR="00BA6FEF" w:rsidRPr="003B0A0B" w:rsidRDefault="00BA6FEF" w:rsidP="00BA6FE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C41E8" w14:textId="77777777" w:rsidR="00383AFD" w:rsidRDefault="00383AFD">
      <w:r>
        <w:separator/>
      </w:r>
    </w:p>
  </w:endnote>
  <w:endnote w:type="continuationSeparator" w:id="0">
    <w:p w14:paraId="436CB743" w14:textId="77777777" w:rsidR="00383AFD" w:rsidRDefault="00383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B0BCF" w14:textId="77777777" w:rsidR="00383AFD" w:rsidRDefault="00383AFD">
      <w:r>
        <w:separator/>
      </w:r>
    </w:p>
  </w:footnote>
  <w:footnote w:type="continuationSeparator" w:id="0">
    <w:p w14:paraId="35B28B7B" w14:textId="77777777" w:rsidR="00383AFD" w:rsidRDefault="00383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F099E"/>
    <w:multiLevelType w:val="hybridMultilevel"/>
    <w:tmpl w:val="2AB8462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8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1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26426E6"/>
    <w:multiLevelType w:val="hybridMultilevel"/>
    <w:tmpl w:val="FFA89B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9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3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0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4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6486739">
    <w:abstractNumId w:val="10"/>
  </w:num>
  <w:num w:numId="2" w16cid:durableId="1440372829">
    <w:abstractNumId w:val="22"/>
  </w:num>
  <w:num w:numId="3" w16cid:durableId="1031685965">
    <w:abstractNumId w:val="11"/>
  </w:num>
  <w:num w:numId="4" w16cid:durableId="1202354028">
    <w:abstractNumId w:val="39"/>
  </w:num>
  <w:num w:numId="5" w16cid:durableId="2131513293">
    <w:abstractNumId w:val="28"/>
  </w:num>
  <w:num w:numId="6" w16cid:durableId="369841459">
    <w:abstractNumId w:val="20"/>
  </w:num>
  <w:num w:numId="7" w16cid:durableId="1677152442">
    <w:abstractNumId w:val="4"/>
  </w:num>
  <w:num w:numId="8" w16cid:durableId="1122574255">
    <w:abstractNumId w:val="18"/>
  </w:num>
  <w:num w:numId="9" w16cid:durableId="762262969">
    <w:abstractNumId w:val="31"/>
  </w:num>
  <w:num w:numId="10" w16cid:durableId="1567955626">
    <w:abstractNumId w:val="23"/>
  </w:num>
  <w:num w:numId="11" w16cid:durableId="1566453962">
    <w:abstractNumId w:val="14"/>
  </w:num>
  <w:num w:numId="12" w16cid:durableId="1083067711">
    <w:abstractNumId w:val="16"/>
  </w:num>
  <w:num w:numId="13" w16cid:durableId="113332579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70682415">
    <w:abstractNumId w:val="41"/>
  </w:num>
  <w:num w:numId="15" w16cid:durableId="1183977961">
    <w:abstractNumId w:val="38"/>
  </w:num>
  <w:num w:numId="16" w16cid:durableId="1814129119">
    <w:abstractNumId w:val="43"/>
  </w:num>
  <w:num w:numId="17" w16cid:durableId="533271615">
    <w:abstractNumId w:val="36"/>
  </w:num>
  <w:num w:numId="18" w16cid:durableId="603194797">
    <w:abstractNumId w:val="5"/>
  </w:num>
  <w:num w:numId="19" w16cid:durableId="706612016">
    <w:abstractNumId w:val="25"/>
  </w:num>
  <w:num w:numId="20" w16cid:durableId="654601614">
    <w:abstractNumId w:val="33"/>
  </w:num>
  <w:num w:numId="21" w16cid:durableId="1365404213">
    <w:abstractNumId w:val="1"/>
  </w:num>
  <w:num w:numId="22" w16cid:durableId="75134826">
    <w:abstractNumId w:val="40"/>
  </w:num>
  <w:num w:numId="23" w16cid:durableId="1300573615">
    <w:abstractNumId w:val="9"/>
  </w:num>
  <w:num w:numId="24" w16cid:durableId="588392510">
    <w:abstractNumId w:val="6"/>
  </w:num>
  <w:num w:numId="25" w16cid:durableId="1006521782">
    <w:abstractNumId w:val="37"/>
  </w:num>
  <w:num w:numId="26" w16cid:durableId="1300115710">
    <w:abstractNumId w:val="8"/>
  </w:num>
  <w:num w:numId="27" w16cid:durableId="2002662615">
    <w:abstractNumId w:val="0"/>
  </w:num>
  <w:num w:numId="28" w16cid:durableId="1516991947">
    <w:abstractNumId w:val="35"/>
  </w:num>
  <w:num w:numId="29" w16cid:durableId="1211720750">
    <w:abstractNumId w:val="34"/>
  </w:num>
  <w:num w:numId="30" w16cid:durableId="12059491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9684638">
    <w:abstractNumId w:val="2"/>
  </w:num>
  <w:num w:numId="32" w16cid:durableId="597716581">
    <w:abstractNumId w:val="13"/>
  </w:num>
  <w:num w:numId="33" w16cid:durableId="718942230">
    <w:abstractNumId w:val="29"/>
  </w:num>
  <w:num w:numId="34" w16cid:durableId="439961060">
    <w:abstractNumId w:val="32"/>
  </w:num>
  <w:num w:numId="35" w16cid:durableId="857621848">
    <w:abstractNumId w:val="21"/>
  </w:num>
  <w:num w:numId="36" w16cid:durableId="2092465863">
    <w:abstractNumId w:val="7"/>
  </w:num>
  <w:num w:numId="37" w16cid:durableId="635648976">
    <w:abstractNumId w:val="12"/>
  </w:num>
  <w:num w:numId="38" w16cid:durableId="1944456989">
    <w:abstractNumId w:val="27"/>
  </w:num>
  <w:num w:numId="39" w16cid:durableId="626200912">
    <w:abstractNumId w:val="3"/>
  </w:num>
  <w:num w:numId="40" w16cid:durableId="147063010">
    <w:abstractNumId w:val="17"/>
  </w:num>
  <w:num w:numId="41" w16cid:durableId="1594704922">
    <w:abstractNumId w:val="26"/>
  </w:num>
  <w:num w:numId="42" w16cid:durableId="1533685042">
    <w:abstractNumId w:val="44"/>
  </w:num>
  <w:num w:numId="43" w16cid:durableId="1815444136">
    <w:abstractNumId w:val="30"/>
  </w:num>
  <w:num w:numId="44" w16cid:durableId="1343824349">
    <w:abstractNumId w:val="42"/>
  </w:num>
  <w:num w:numId="45" w16cid:durableId="374085493">
    <w:abstractNumId w:val="19"/>
  </w:num>
  <w:num w:numId="46" w16cid:durableId="1529832016">
    <w:abstractNumId w:val="24"/>
  </w:num>
  <w:num w:numId="47" w16cid:durableId="94334076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5791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0B45"/>
    <w:rsid w:val="00105D5A"/>
    <w:rsid w:val="00107B1D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3A46"/>
    <w:rsid w:val="001C498E"/>
    <w:rsid w:val="001C5D73"/>
    <w:rsid w:val="001D51EB"/>
    <w:rsid w:val="001D5C9A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57E01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074"/>
    <w:rsid w:val="002E371D"/>
    <w:rsid w:val="002E5B4D"/>
    <w:rsid w:val="002E6E86"/>
    <w:rsid w:val="002F1164"/>
    <w:rsid w:val="002F241B"/>
    <w:rsid w:val="002F418D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AFD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45C68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36AC"/>
    <w:rsid w:val="004A43FC"/>
    <w:rsid w:val="004B245C"/>
    <w:rsid w:val="004B6080"/>
    <w:rsid w:val="004B79CC"/>
    <w:rsid w:val="004C21AE"/>
    <w:rsid w:val="004C62B1"/>
    <w:rsid w:val="004D0244"/>
    <w:rsid w:val="004D0F1C"/>
    <w:rsid w:val="004D4DAF"/>
    <w:rsid w:val="004E21E0"/>
    <w:rsid w:val="004E5878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46158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4A2B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6294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2759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65A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276F8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70F5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0A4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E46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D3E"/>
    <w:rsid w:val="00B83F08"/>
    <w:rsid w:val="00B8533E"/>
    <w:rsid w:val="00B85827"/>
    <w:rsid w:val="00B92084"/>
    <w:rsid w:val="00B96B1C"/>
    <w:rsid w:val="00B979BC"/>
    <w:rsid w:val="00BA50C2"/>
    <w:rsid w:val="00BA6961"/>
    <w:rsid w:val="00BA6FEF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1F9A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79E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96B48"/>
    <w:rsid w:val="00CA1ED7"/>
    <w:rsid w:val="00CA35A5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09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2E99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1F40"/>
    <w:rsid w:val="00DE5B10"/>
    <w:rsid w:val="00DE752D"/>
    <w:rsid w:val="00DF0E59"/>
    <w:rsid w:val="00DF2D06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3CA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78C"/>
    <w:rsid w:val="00EE3088"/>
    <w:rsid w:val="00EE7389"/>
    <w:rsid w:val="00EE7650"/>
    <w:rsid w:val="00EF03ED"/>
    <w:rsid w:val="00EF0716"/>
    <w:rsid w:val="00EF39CF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1CBE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uiPriority w:val="99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TableContents">
    <w:name w:val="Table Contents"/>
    <w:basedOn w:val="a"/>
    <w:rsid w:val="00DE1F40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Mangal"/>
      <w:kern w:val="3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3</TotalTime>
  <Pages>3</Pages>
  <Words>585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4542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6</cp:revision>
  <cp:lastPrinted>2023-01-18T10:39:00Z</cp:lastPrinted>
  <dcterms:created xsi:type="dcterms:W3CDTF">2023-02-24T07:45:00Z</dcterms:created>
  <dcterms:modified xsi:type="dcterms:W3CDTF">2023-02-24T13:39:00Z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