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71202" w14:textId="77777777" w:rsidR="00CD21AC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0E3D2B85" w:rsidR="004A43FC" w:rsidRPr="00742DCB" w:rsidRDefault="00CD21AC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00C4">
        <w:rPr>
          <w:rFonts w:asciiTheme="minorHAnsi" w:hAnsiTheme="minorHAnsi" w:cstheme="minorHAnsi"/>
          <w:b/>
          <w:sz w:val="22"/>
          <w:szCs w:val="22"/>
        </w:rPr>
        <w:t>Ψ68ΗΟΡΡ3-ΑΞ6</w:t>
      </w:r>
    </w:p>
    <w:p w14:paraId="242803F3" w14:textId="4EE0EE72" w:rsidR="00A63AD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1CC6">
        <w:rPr>
          <w:rFonts w:asciiTheme="minorHAnsi" w:hAnsiTheme="minorHAnsi" w:cstheme="minorHAnsi"/>
          <w:b/>
          <w:sz w:val="22"/>
          <w:szCs w:val="22"/>
        </w:rPr>
        <w:t>2491/05-05-2020</w:t>
      </w:r>
    </w:p>
    <w:p w14:paraId="02B14CAD" w14:textId="41FD6E57" w:rsidR="003A03DA" w:rsidRDefault="003A03DA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327ED600" w14:textId="46E48209" w:rsidR="00CD21AC" w:rsidRDefault="00CD21A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75D6A69" w14:textId="77777777" w:rsidR="00CD21AC" w:rsidRPr="00742DCB" w:rsidRDefault="00CD21A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30AFD5F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Pr="00240410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3A03DA">
        <w:rPr>
          <w:rFonts w:asciiTheme="minorHAnsi" w:hAnsiTheme="minorHAnsi" w:cstheme="minorHAnsi"/>
          <w:b/>
          <w:sz w:val="22"/>
          <w:szCs w:val="22"/>
        </w:rPr>
        <w:t>αναλώσιμου υγειονομικού υλικού για τη Μονάδα Τεχνητού Νεφρού του Γ.Ν. Θήρας για περίοδο τριών μηνών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6198488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03DA">
        <w:rPr>
          <w:rFonts w:asciiTheme="minorHAnsi" w:hAnsiTheme="minorHAnsi" w:cstheme="minorHAnsi"/>
          <w:b/>
          <w:sz w:val="22"/>
          <w:szCs w:val="22"/>
        </w:rPr>
        <w:t>2436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3A03DA">
        <w:rPr>
          <w:rFonts w:asciiTheme="minorHAnsi" w:hAnsiTheme="minorHAnsi" w:cstheme="minorHAnsi"/>
          <w:b/>
          <w:sz w:val="22"/>
          <w:szCs w:val="22"/>
        </w:rPr>
        <w:t>30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.0</w:t>
      </w:r>
      <w:r w:rsidR="003A03DA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63288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20</w:t>
      </w:r>
      <w:r w:rsidR="00421D1A">
        <w:rPr>
          <w:rFonts w:asciiTheme="minorHAnsi" w:hAnsiTheme="minorHAnsi" w:cstheme="minorHAnsi"/>
          <w:b/>
          <w:sz w:val="22"/>
          <w:szCs w:val="22"/>
        </w:rPr>
        <w:t>20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05216E">
        <w:rPr>
          <w:rFonts w:asciiTheme="minorHAnsi" w:hAnsiTheme="minorHAnsi" w:cstheme="minorHAnsi"/>
          <w:b/>
          <w:sz w:val="22"/>
          <w:szCs w:val="22"/>
        </w:rPr>
        <w:t>της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216E">
        <w:rPr>
          <w:rFonts w:asciiTheme="minorHAnsi" w:hAnsiTheme="minorHAnsi" w:cstheme="minorHAnsi"/>
          <w:b/>
          <w:sz w:val="22"/>
          <w:szCs w:val="22"/>
        </w:rPr>
        <w:t>Νοσηλευτικής Υπηρεσίας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7C1D987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03DA">
        <w:rPr>
          <w:rFonts w:asciiTheme="minorHAnsi" w:hAnsiTheme="minorHAnsi" w:cstheme="minorHAnsi"/>
          <w:b/>
          <w:bCs/>
          <w:sz w:val="22"/>
          <w:szCs w:val="22"/>
        </w:rPr>
        <w:t>Είκοσι χιλιάδες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3A03DA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1CC6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129EB94" w:rsidR="00A63ADE" w:rsidRPr="006F2549" w:rsidRDefault="00891CC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r w:rsidR="0005216E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E50F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0F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50F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25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671AF8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671AF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C50556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DFFC8AD" w:rsidR="00A63ADE" w:rsidRPr="00CE5130" w:rsidRDefault="002E50F3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  <w:r w:rsidR="0005216E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3042C11C" w:rsidR="00A63ADE" w:rsidRPr="00CE5130" w:rsidRDefault="002B625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7A1A35B6" w14:textId="77777777" w:rsidR="00ED4105" w:rsidRDefault="00ED4105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5946CAF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61E44EFA" w:rsidR="00201DD2" w:rsidRPr="00CD21AC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CD21AC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5216E" w:rsidRPr="00CD21AC">
        <w:rPr>
          <w:rFonts w:asciiTheme="minorHAnsi" w:hAnsiTheme="minorHAnsi" w:cstheme="minorHAnsi"/>
          <w:sz w:val="22"/>
          <w:szCs w:val="22"/>
        </w:rPr>
        <w:t>του απαραίτητου υγειονομικού υλικού για τη λειτουργία της Μονάδας Τεχνητού Νεφρού του Γ.Ν. Θήρας.</w:t>
      </w:r>
      <w:r w:rsidR="00CD21AC" w:rsidRPr="00CD21AC">
        <w:rPr>
          <w:rFonts w:asciiTheme="minorHAnsi" w:hAnsiTheme="minorHAnsi" w:cstheme="minorHAnsi"/>
          <w:sz w:val="22"/>
          <w:szCs w:val="22"/>
        </w:rPr>
        <w:t xml:space="preserve"> Τα αιτούμενα υλικά θα πρέπει να πληρούν τις παρακάτω αναλυτικά περιγραφόμενες τεχνικές προδιαγραφές</w:t>
      </w:r>
    </w:p>
    <w:p w14:paraId="3FCFBB1F" w14:textId="5A8B738A" w:rsidR="003A03DA" w:rsidRDefault="003A03DA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DC48AE" w14:textId="47DD02FE" w:rsidR="00ED4105" w:rsidRDefault="00ED410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C8A491" w14:textId="205DFD6F" w:rsidR="00ED4105" w:rsidRDefault="00ED410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D04BFD" w14:textId="77777777" w:rsidR="00ED4105" w:rsidRPr="00CD21AC" w:rsidRDefault="00ED410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301393" w14:textId="77777777" w:rsidR="003A03DA" w:rsidRPr="00CD21AC" w:rsidRDefault="003A03DA" w:rsidP="00CD21AC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1.Α </w:t>
      </w:r>
      <w:bookmarkStart w:id="1" w:name="_Hlk38534677"/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ΦΙΛΤΡΑ ΤΕΧΝΗΤΟΥ ΝΕΦΡΟΥ ΣΥΜΒΑΤΑ ΜΕ ΤΑ ΜΗΧΑΝΗΜΑΤΑ 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FRESENIUS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, ΚΑΤΗΓΟΡΙΑ Β2 LOW FLUX ΜΕΜΒΡΑΝΗ ΠΟΛΥΣΟΥΛΦΟΝΗΣ </w:t>
      </w:r>
      <w:bookmarkStart w:id="2" w:name="_Hlk12028030"/>
      <w:r w:rsidRPr="00CD21AC">
        <w:rPr>
          <w:rFonts w:asciiTheme="minorHAnsi" w:hAnsiTheme="minorHAnsi" w:cstheme="minorHAnsi"/>
          <w:b/>
          <w:bCs/>
          <w:sz w:val="22"/>
          <w:szCs w:val="22"/>
        </w:rPr>
        <w:t>και ΑΡΤΗΡΙΑΚΕΣ – ΦΛΕΒΙΚΕΣ ΓΡΑΜΜΕΣ ΑΙΜΑΤΟΣ</w:t>
      </w:r>
      <w:bookmarkEnd w:id="1"/>
      <w:bookmarkEnd w:id="2"/>
    </w:p>
    <w:tbl>
      <w:tblPr>
        <w:tblStyle w:val="a6"/>
        <w:tblW w:w="10133" w:type="dxa"/>
        <w:jc w:val="center"/>
        <w:tblLook w:val="04A0" w:firstRow="1" w:lastRow="0" w:firstColumn="1" w:lastColumn="0" w:noHBand="0" w:noVBand="1"/>
      </w:tblPr>
      <w:tblGrid>
        <w:gridCol w:w="1153"/>
        <w:gridCol w:w="1586"/>
        <w:gridCol w:w="7394"/>
      </w:tblGrid>
      <w:tr w:rsidR="003A03DA" w:rsidRPr="00CD21AC" w14:paraId="3F57D43D" w14:textId="77777777" w:rsidTr="003A03DA">
        <w:trPr>
          <w:trHeight w:val="30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725A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A077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D0CB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ΠΡΟΔΙΑΓΑΦΕΣ</w:t>
            </w:r>
          </w:p>
        </w:tc>
      </w:tr>
      <w:tr w:rsidR="003A03DA" w:rsidRPr="00CD21AC" w14:paraId="44DFE08A" w14:textId="77777777" w:rsidTr="003A03DA">
        <w:trPr>
          <w:trHeight w:val="385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EF7E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F10 HPS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8B9D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240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F3E2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διυλιστή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 10 HPS</w:t>
            </w:r>
          </w:p>
          <w:p w14:paraId="4469E3AB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τύ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πο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τριχοειδικό</w:t>
            </w:r>
            <w:proofErr w:type="spellEnd"/>
          </w:p>
          <w:p w14:paraId="2D4FE44C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μεμ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βράνη  Low</w:t>
            </w:r>
            <w:proofErr w:type="gram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Flux Fresenius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Polysulfone</w:t>
            </w:r>
            <w:proofErr w:type="spellEnd"/>
          </w:p>
          <w:p w14:paraId="6CF614E5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άχος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τοιχώμ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ατος 40μm</w:t>
            </w:r>
          </w:p>
          <w:p w14:paraId="378C7480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εσωτερική διάμετρος ινών 200μ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</w:t>
            </w:r>
          </w:p>
          <w:p w14:paraId="225E2E24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δρ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αστική επ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ιφάνει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 2,2m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 w:eastAsia="en-US"/>
              </w:rPr>
              <w:t>2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121CD42D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οστείρωση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τμοκλι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βανισμό</w:t>
            </w:r>
          </w:p>
          <w:p w14:paraId="7704858E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συντελεστή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υπερδιήθησης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21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ml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mmHg</w:t>
            </w:r>
          </w:p>
          <w:p w14:paraId="0384962B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όγκο πληρώσεως αίματος 132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ml</w:t>
            </w:r>
          </w:p>
          <w:p w14:paraId="1081B396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υλικό κατασκευής περιβλήματος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πολυκαρβουνύλιο</w:t>
            </w:r>
            <w:proofErr w:type="spellEnd"/>
          </w:p>
          <w:p w14:paraId="5AD32B4D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υλικό κατασκευής σφράγισης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πολυουρεθάνη</w:t>
            </w:r>
            <w:proofErr w:type="spellEnd"/>
          </w:p>
          <w:p w14:paraId="72311072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συντελεστή κάθαρσης ουρίας 945</w:t>
            </w:r>
          </w:p>
          <w:p w14:paraId="5F50DFB2" w14:textId="77777777" w:rsidR="003A03DA" w:rsidRPr="00CD21AC" w:rsidRDefault="003A03DA" w:rsidP="005F3D1F">
            <w:pPr>
              <w:pStyle w:val="a7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περιέχουν αρτηριακές και φλεβικές γραμμές αίματός</w:t>
            </w:r>
          </w:p>
          <w:p w14:paraId="3CA29A4A" w14:textId="77777777" w:rsidR="003A03DA" w:rsidRPr="00CD21AC" w:rsidRDefault="003A03DA">
            <w:pPr>
              <w:pStyle w:val="a7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οι  οποίες θα είναι αποστειρωμένες με ακτινοβολία </w:t>
            </w:r>
          </w:p>
          <w:p w14:paraId="4505CE91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CE</w:t>
            </w:r>
          </w:p>
          <w:p w14:paraId="0AD267AC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5BB5EAAB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502001" w14:textId="77777777" w:rsidR="00ED4105" w:rsidRDefault="00ED4105" w:rsidP="00CD21AC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EB92D7" w14:textId="3EBCC14B" w:rsidR="003A03DA" w:rsidRPr="00CD21AC" w:rsidRDefault="003A03DA" w:rsidP="00CD21AC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1.Β ΦΙΛΤΡΑ ΤΕΧΝΗΤΟΥ ΝΕΦΡΟΥ ΣΥΜΒΑΤΑ ΜΕ ΤΑ ΜΗΧΑΝΗΜΑΤΑ 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FRESENIUS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, ΚΑΤΗΓΟΡΙΑ Β2 LOW FLUX ΜΕΜΒΡΑΝΗ ΠΟΛΥΣΟΥΛΦΟΝΗΣ και ΑΡΤΗΡΙΑΚΕΣ – ΦΛΕΒΙΚΕΣ ΓΡΑΜΜΕΣ ΑΙΜΑΤΟΣ</w:t>
      </w:r>
    </w:p>
    <w:tbl>
      <w:tblPr>
        <w:tblStyle w:val="af1"/>
        <w:tblW w:w="1033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86"/>
        <w:gridCol w:w="7361"/>
      </w:tblGrid>
      <w:tr w:rsidR="003A03DA" w:rsidRPr="00CD21AC" w14:paraId="0779BD8B" w14:textId="77777777" w:rsidTr="003A03DA">
        <w:trPr>
          <w:jc w:val="center"/>
        </w:trPr>
        <w:tc>
          <w:tcPr>
            <w:tcW w:w="1390" w:type="dxa"/>
            <w:hideMark/>
          </w:tcPr>
          <w:p w14:paraId="5C04650C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ΥΛΙΚΟ</w:t>
            </w:r>
          </w:p>
        </w:tc>
        <w:tc>
          <w:tcPr>
            <w:tcW w:w="1586" w:type="dxa"/>
            <w:hideMark/>
          </w:tcPr>
          <w:p w14:paraId="2FA55567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7361" w:type="dxa"/>
            <w:hideMark/>
          </w:tcPr>
          <w:p w14:paraId="74CA144D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ΤΕΧΝΙΚΕΣ ΠΡΟΔΙΑΓΡΑΦΕΣ</w:t>
            </w:r>
          </w:p>
        </w:tc>
      </w:tr>
      <w:tr w:rsidR="003A03DA" w:rsidRPr="00CD21AC" w14:paraId="48B61CD5" w14:textId="77777777" w:rsidTr="003A03DA">
        <w:trPr>
          <w:trHeight w:val="453"/>
          <w:jc w:val="center"/>
        </w:trPr>
        <w:tc>
          <w:tcPr>
            <w:tcW w:w="1390" w:type="dxa"/>
            <w:hideMark/>
          </w:tcPr>
          <w:p w14:paraId="646942CE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F 8 HPS</w:t>
            </w:r>
          </w:p>
        </w:tc>
        <w:tc>
          <w:tcPr>
            <w:tcW w:w="1586" w:type="dxa"/>
            <w:hideMark/>
          </w:tcPr>
          <w:p w14:paraId="3534B35A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84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τμχ</w:t>
            </w:r>
            <w:proofErr w:type="spellEnd"/>
          </w:p>
        </w:tc>
        <w:tc>
          <w:tcPr>
            <w:tcW w:w="7361" w:type="dxa"/>
            <w:hideMark/>
          </w:tcPr>
          <w:p w14:paraId="41D1475B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διυλιστή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F 8 HPS</w:t>
            </w:r>
          </w:p>
          <w:p w14:paraId="14AB48BA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τύ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πο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τριχοειδικό</w:t>
            </w:r>
            <w:proofErr w:type="spellEnd"/>
          </w:p>
          <w:p w14:paraId="0A11B2CF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μεμ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βράνη  Low</w:t>
            </w:r>
            <w:proofErr w:type="gram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Flux Fresenius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Polysulfone</w:t>
            </w:r>
            <w:proofErr w:type="spellEnd"/>
          </w:p>
          <w:p w14:paraId="64055B41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άχος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τοιχώμ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ατος 40μm</w:t>
            </w:r>
          </w:p>
          <w:p w14:paraId="3C8AC553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Να έχει εσωτερική διάμετρος ινών 200μ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  <w:p w14:paraId="32C0CC88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δρ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αστική επ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ιφάνει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α 1,8m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734CE8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οστείρωση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 xml:space="preserve"> 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τμοκλι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βανισμό</w:t>
            </w:r>
          </w:p>
          <w:p w14:paraId="475A2F68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Να έχει συντελεστή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υπερδιήθησης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18 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mmHg</w:t>
            </w:r>
          </w:p>
          <w:p w14:paraId="69D97B6D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Να έχει όγκο πληρώσεως αίματος 113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</w:p>
          <w:p w14:paraId="5760EBD9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Να έχει υλικό κατασκευής περιβλήματος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πολυκαρβουνύλιο</w:t>
            </w:r>
            <w:proofErr w:type="spellEnd"/>
          </w:p>
          <w:p w14:paraId="3C44C936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 xml:space="preserve">Να έχει υλικό κατασκευής σφράγισης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πολυουρεθάνη</w:t>
            </w:r>
            <w:proofErr w:type="spellEnd"/>
          </w:p>
          <w:p w14:paraId="35E7ED3E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Να έχει συντελεστή κάθαρσης ουρίας 849</w:t>
            </w:r>
          </w:p>
          <w:p w14:paraId="1D852816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Να περιέχουν αρτηριακές και φλεβικές γραμμές αίματός οι  οποίες θα είναι αποστειρωμένες με ακτινοβολία .</w:t>
            </w:r>
          </w:p>
          <w:p w14:paraId="185F8F30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</w:p>
          <w:p w14:paraId="2504EAF2" w14:textId="77777777" w:rsidR="003A03DA" w:rsidRPr="00CD21AC" w:rsidRDefault="003A03DA" w:rsidP="005F3D1F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0D7CE5D5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F4D573" w14:textId="77777777" w:rsidR="00ED4105" w:rsidRDefault="00ED4105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A12E0" w14:textId="1EE8A453" w:rsidR="003A03DA" w:rsidRPr="00CD21AC" w:rsidRDefault="003A03DA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2.ΦΥΣΙΓΓΕΣ ΔΙΤΤΑΝΘΡΑΚΙΚΟΥ ΝΑΤΡΙΟΥ ΓΙΑ ΜΗΧΑΝΗΜΑΤΑ FRESENIUS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</w:p>
    <w:tbl>
      <w:tblPr>
        <w:tblStyle w:val="a6"/>
        <w:tblW w:w="10494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7238"/>
      </w:tblGrid>
      <w:tr w:rsidR="003A03DA" w:rsidRPr="00CD21AC" w14:paraId="5F021B27" w14:textId="77777777" w:rsidTr="00CD21A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AC12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FF63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526F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055D6BDE" w14:textId="77777777" w:rsidTr="00CD21AC">
        <w:trPr>
          <w:trHeight w:val="35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529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ΦΥΣΙΓΓΕΣ ΔΙΤΤΑΝΘΡΑΚΙΚΟΥ ΝΑΤΡΙΟΥ (750γρ)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389D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350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961B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χημικά καθαρή και σταθερή σκόνη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διττανθρακικών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σύμφωνα με τους κανόνες της Ευρωπαϊκής Φαρμακοποιίας</w:t>
            </w:r>
          </w:p>
          <w:p w14:paraId="090A770F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εύκολο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χειρισμό</w:t>
            </w:r>
            <w:proofErr w:type="spellEnd"/>
          </w:p>
          <w:p w14:paraId="7186277A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μικρό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όγκος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οθηκεύσεως</w:t>
            </w:r>
            <w:proofErr w:type="spellEnd"/>
          </w:p>
          <w:p w14:paraId="42A579E4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μην έχει απώλεια διαλύματος κατά την αποσύνδεση</w:t>
            </w:r>
          </w:p>
          <w:p w14:paraId="6142025B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είναι υλικό κατασκευής φιλικό προς το περιβάλλον</w:t>
            </w:r>
          </w:p>
          <w:p w14:paraId="3C6157CB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μα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κρά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ημερομηνί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λήξεως</w:t>
            </w:r>
            <w:proofErr w:type="spellEnd"/>
          </w:p>
          <w:p w14:paraId="7D71CE73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διαθέτει φίλτρο κατακράτησης σωματιδίων στην είσοδο και την έξοδο του διαλύματος.</w:t>
            </w:r>
          </w:p>
          <w:p w14:paraId="120A0B77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παράγει ποσότητα διαλύματος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διττανθρακικών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σε επαρκή ποσότητα για μια αιμοκάθαρση 5 τουλάχιστον ωρών</w:t>
            </w:r>
          </w:p>
          <w:p w14:paraId="2666871C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CE</w:t>
            </w:r>
          </w:p>
          <w:p w14:paraId="4659FD76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6BFFC883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2237C4" w14:textId="77777777" w:rsidR="00ED4105" w:rsidRDefault="00ED4105" w:rsidP="00CD21AC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4C46C65" w14:textId="14AD79B1" w:rsidR="003A03DA" w:rsidRPr="00CD21AC" w:rsidRDefault="003A03DA" w:rsidP="00CD21AC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3.ΦΙΛΤΡΑ ΤΕΧΝΗΤΟΥ ΝΕΦΡΟΥ ΣΥΜΒΑΤΑ ΜΕ ΤΑ ΜΗΧΑΝΗΜΑΤΑ FRESENIUS 5008S και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, ΚΑΤΗΓΟΡΙΑ A2 HIGH FLUX ΜΕΜΒΡΑΝΗΣ HELIXONE και ΑΡΤΗΡΙΑΚΕΣ – ΦΛΕΒΙΚΕΣ ΓΡΑΜΜΕΣ ΑΙΜΑΤΟΣ</w:t>
      </w:r>
    </w:p>
    <w:tbl>
      <w:tblPr>
        <w:tblStyle w:val="a6"/>
        <w:tblW w:w="9922" w:type="dxa"/>
        <w:tblLook w:val="04A0" w:firstRow="1" w:lastRow="0" w:firstColumn="1" w:lastColumn="0" w:noHBand="0" w:noVBand="1"/>
      </w:tblPr>
      <w:tblGrid>
        <w:gridCol w:w="1651"/>
        <w:gridCol w:w="1246"/>
        <w:gridCol w:w="7025"/>
      </w:tblGrid>
      <w:tr w:rsidR="003A03DA" w:rsidRPr="00CD21AC" w14:paraId="74C53E01" w14:textId="77777777" w:rsidTr="00CD21AC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2CC3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F713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839F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6C36C39F" w14:textId="77777777" w:rsidTr="00CD21AC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A4FF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FX100classix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B58F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156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081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διυλιστή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FΧ 100classix</w:t>
            </w:r>
          </w:p>
          <w:p w14:paraId="397E11E2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τύ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πο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τριχοειδικό</w:t>
            </w:r>
            <w:proofErr w:type="spellEnd"/>
          </w:p>
          <w:p w14:paraId="3480EFF5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μεμ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βράνη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Helixone</w:t>
            </w:r>
            <w:proofErr w:type="spellEnd"/>
          </w:p>
          <w:p w14:paraId="51825036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άχος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τοιχώμ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ατος 35μm</w:t>
            </w:r>
          </w:p>
          <w:p w14:paraId="0F4C0907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εσωτερική διάμετρος ινών 185μ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</w:t>
            </w:r>
          </w:p>
          <w:p w14:paraId="73030A1C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δρ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αστική επ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ιφάνει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 2,2m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 w:eastAsia="en-US"/>
              </w:rPr>
              <w:t>2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56A7D9B1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οστείρωση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τμοκλι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βανισμό</w:t>
            </w:r>
          </w:p>
          <w:p w14:paraId="00574F85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συντελεστή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υπερδιήθησης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68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ml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mmHg</w:t>
            </w:r>
          </w:p>
          <w:p w14:paraId="30924A3B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όγκο πληρώσεως αίματος 116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ml</w:t>
            </w:r>
          </w:p>
          <w:p w14:paraId="773673A7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υλικό κατασκευής περιβλήματος πολυπροπυλένιο</w:t>
            </w:r>
          </w:p>
          <w:p w14:paraId="7EFFBB0F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υλικό κατασκευής σφράγισης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πολυουρεθάνη</w:t>
            </w:r>
            <w:proofErr w:type="spellEnd"/>
          </w:p>
          <w:p w14:paraId="33B83625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συντελεστή κάθαρσης ουρίας 1429</w:t>
            </w:r>
          </w:p>
          <w:p w14:paraId="3D02017C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περιέχουν αρτηριακές και φλεβικές γραμμές αίματός οι  οποίες θα είναι αποστειρωμένες με ακτινοβολία .</w:t>
            </w:r>
          </w:p>
          <w:p w14:paraId="10FFB5EF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Τα 78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τμχ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γραμμών αίματος να  προορίζονται για μηχανήματα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Fresenius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5008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και τα υπόλοιπα 78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τμχ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να προορίζονται για μηχανήματα 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Fresenius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4008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</w:t>
            </w:r>
          </w:p>
          <w:p w14:paraId="3CF35B08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CE</w:t>
            </w:r>
          </w:p>
          <w:p w14:paraId="5EF80723" w14:textId="77777777" w:rsidR="003A03DA" w:rsidRPr="00CD21AC" w:rsidRDefault="003A03DA" w:rsidP="005F3D1F">
            <w:pPr>
              <w:pStyle w:val="a7"/>
              <w:numPr>
                <w:ilvl w:val="0"/>
                <w:numId w:val="5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4E25D6B8" w14:textId="77777777" w:rsidR="003A03DA" w:rsidRPr="00CD21AC" w:rsidRDefault="003A03DA" w:rsidP="003A03DA">
      <w:pPr>
        <w:spacing w:after="160" w:line="25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5AED4FF" w14:textId="77777777" w:rsidR="00ED4105" w:rsidRDefault="00ED4105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AB33E7" w14:textId="61C24A72" w:rsidR="003A03DA" w:rsidRPr="00CD21AC" w:rsidRDefault="003A03DA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4.ΦΥΣΙΓΓΕΣ ΔΙΤΤΑΝΘΡΑΚΙΚΟΥ ΝΑΤΡΙΟΥ ΓΙΑ ΜΗΧΑΝΗΜΑΤΑ FRESENIUS 5008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</w:p>
    <w:tbl>
      <w:tblPr>
        <w:tblStyle w:val="a6"/>
        <w:tblW w:w="10210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7096"/>
      </w:tblGrid>
      <w:tr w:rsidR="003A03DA" w:rsidRPr="00CD21AC" w14:paraId="56420261" w14:textId="77777777" w:rsidTr="00CD21A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23D3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51F6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0B08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33DDD4B7" w14:textId="77777777" w:rsidTr="00CD21AC">
        <w:trPr>
          <w:trHeight w:val="4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203A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ΦΥΣΙΓΓΕΣ ΔΙΤΤΑΝΘΡΑΚΙΚΟΥ ΝΑΤΡΙΟΥ (750γρ)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1481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165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4FD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χημικά καθαρή και σταθερή σκόνη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διττανθρακικών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σύμφωνα με τους κανόνες της Ευρωπαϊκής Φαρμακοποιίας</w:t>
            </w:r>
          </w:p>
          <w:p w14:paraId="21D09596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εύκολο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χειρισμό</w:t>
            </w:r>
            <w:proofErr w:type="spellEnd"/>
          </w:p>
          <w:p w14:paraId="5A074D65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μικρό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όγκος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οθηκεύσεως</w:t>
            </w:r>
            <w:proofErr w:type="spellEnd"/>
          </w:p>
          <w:p w14:paraId="6530F47B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μην έχει απώλεια διαλύματος κατά την αποσύνδεση</w:t>
            </w:r>
          </w:p>
          <w:p w14:paraId="221FF5E4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είναι υλικό κατασκευής φιλικό προς το περιβάλλον</w:t>
            </w:r>
          </w:p>
          <w:p w14:paraId="3F28F230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μα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κρά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ημερομηνί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λήξεως</w:t>
            </w:r>
            <w:proofErr w:type="spellEnd"/>
          </w:p>
          <w:p w14:paraId="20DFE46B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διαθέτει φίλτρο κατακράτησης σωματιδίων στην είσοδο και την έξοδο του διαλύματος</w:t>
            </w:r>
          </w:p>
          <w:p w14:paraId="484AB390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παράγει ποσότητα διαλύματος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διττανθρακικών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σε επαρκή ποσότητα για μια αιμοκάθαρση 5 τουλάχιστον ωρών</w:t>
            </w:r>
          </w:p>
          <w:p w14:paraId="74D77B38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CE</w:t>
            </w:r>
          </w:p>
          <w:p w14:paraId="099F005E" w14:textId="77777777" w:rsidR="003A03DA" w:rsidRPr="00CD21AC" w:rsidRDefault="003A03DA" w:rsidP="005F3D1F">
            <w:pPr>
              <w:pStyle w:val="a7"/>
              <w:numPr>
                <w:ilvl w:val="0"/>
                <w:numId w:val="4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60363DA8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3" w:name="_Hlk38455230"/>
      <w:bookmarkStart w:id="4" w:name="_Hlk11907316"/>
    </w:p>
    <w:bookmarkEnd w:id="3"/>
    <w:bookmarkEnd w:id="4"/>
    <w:p w14:paraId="0D81CCF0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lastRenderedPageBreak/>
        <w:t>5.ΒΕΛΟΝΕΣ (FISTULA) ΓΙΑ ΠΑΡΑΚΕΝΤΗΣΗ ΑΡΤΗΡΙΑΣ</w:t>
      </w:r>
    </w:p>
    <w:tbl>
      <w:tblPr>
        <w:tblStyle w:val="a6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3"/>
        <w:gridCol w:w="6812"/>
      </w:tblGrid>
      <w:tr w:rsidR="003A03DA" w:rsidRPr="00CD21AC" w14:paraId="6E12FE29" w14:textId="77777777" w:rsidTr="003A03D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FBB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1026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6C21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74E8A0E9" w14:textId="77777777" w:rsidTr="003A03D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25E" w14:textId="77777777" w:rsidR="003A03DA" w:rsidRPr="00CD21AC" w:rsidRDefault="003A03DA" w:rsidP="005F3D1F">
            <w:pPr>
              <w:pStyle w:val="a7"/>
              <w:numPr>
                <w:ilvl w:val="0"/>
                <w:numId w:val="6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Βελόνες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15 G</w:t>
            </w:r>
          </w:p>
          <w:p w14:paraId="393DDA82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4F47875" w14:textId="77777777" w:rsidR="003A03DA" w:rsidRPr="00CD21AC" w:rsidRDefault="003A03DA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01BDE212" w14:textId="77777777" w:rsidR="003A03DA" w:rsidRPr="00CD21AC" w:rsidRDefault="003A03DA" w:rsidP="005F3D1F">
            <w:pPr>
              <w:pStyle w:val="a7"/>
              <w:numPr>
                <w:ilvl w:val="0"/>
                <w:numId w:val="6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Βελόνες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16G</w:t>
            </w:r>
          </w:p>
          <w:p w14:paraId="6C967D8A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645B0F65" w14:textId="77777777" w:rsidR="003A03DA" w:rsidRPr="00CD21AC" w:rsidRDefault="003A03DA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4A1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350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  <w:p w14:paraId="5308FD48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AE9A739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0C0F70C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350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  <w:p w14:paraId="55D249D2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7F66DB8C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8017708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B403A68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9314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αθέτουν back-eye, 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ρτηρι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ακή</w:t>
            </w:r>
          </w:p>
          <w:p w14:paraId="05D0444E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 είναι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ατραυματικές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περιορισμό του πόνου και του τραυματισμού</w:t>
            </w:r>
          </w:p>
          <w:p w14:paraId="21D9163E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είναι αποστειρωμένες με γ-ακτινοβολία ή ατμό</w:t>
            </w:r>
          </w:p>
          <w:p w14:paraId="2036FAF4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 μεταλλικό τμήμα της βελόνας να είναι επικαλυμμένο με αδρανές υλικό</w:t>
            </w:r>
          </w:p>
          <w:p w14:paraId="78461F7B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διαθέτουν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κλιπς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τη δυνητική διακοπή της αιματικής ροής κατά τη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φλεβοκέντηση</w:t>
            </w:r>
            <w:proofErr w:type="spellEnd"/>
          </w:p>
          <w:p w14:paraId="35329E68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αθέτουν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εριστρεφόμενη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ετ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αλούδα </w:t>
            </w:r>
          </w:p>
          <w:p w14:paraId="71F3C4D5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διάμετρο η βελόνας 15-16-17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και να ακολουθούν το Διεθνές πρότυπο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ISO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9626:1991</w:t>
            </w:r>
          </w:p>
          <w:p w14:paraId="2FD32367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το πάχος του τοιχώματος της βελόνας 97±1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Microns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και να ακολουθούν το Διεθνές πρότυπο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ISO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9626:1991</w:t>
            </w:r>
          </w:p>
          <w:p w14:paraId="5202025B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Το μήκος της βελόνας να είναι 1’’ (25ΜΜ) και να ακολουθούν το Διεθνές πρότυπο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ISO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9626:1991</w:t>
            </w:r>
          </w:p>
          <w:p w14:paraId="32213207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 μήκος του σωλήνα να είναι 150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mm</w:t>
            </w:r>
          </w:p>
          <w:p w14:paraId="3E890FA2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CE</w:t>
            </w:r>
          </w:p>
          <w:p w14:paraId="2B299291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423E625C" w14:textId="67B0B1A4" w:rsidR="003A03DA" w:rsidRPr="00CD21AC" w:rsidRDefault="003A03DA" w:rsidP="003A03DA">
      <w:p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bookmarkStart w:id="5" w:name="_Hlk11530971"/>
    </w:p>
    <w:p w14:paraId="6E504A98" w14:textId="77777777" w:rsidR="003A03DA" w:rsidRPr="00CD21AC" w:rsidRDefault="003A03DA" w:rsidP="00CD21AC">
      <w:pPr>
        <w:tabs>
          <w:tab w:val="left" w:pos="720"/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 xml:space="preserve">6. </w:t>
      </w:r>
      <w:bookmarkEnd w:id="5"/>
      <w:r w:rsidRPr="00CD21AC">
        <w:rPr>
          <w:rFonts w:asciiTheme="minorHAnsi" w:hAnsiTheme="minorHAnsi" w:cstheme="minorHAnsi"/>
          <w:b/>
          <w:bCs/>
          <w:sz w:val="22"/>
          <w:szCs w:val="22"/>
        </w:rPr>
        <w:t>ΒΕΛΟΝΕΣ (FISTULA) ΓΙΑ ΠΑΡΑΚΕΝΤΙΣΗ ΦΛΕΒΑΣ</w:t>
      </w:r>
    </w:p>
    <w:tbl>
      <w:tblPr>
        <w:tblStyle w:val="a6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3"/>
        <w:gridCol w:w="6812"/>
      </w:tblGrid>
      <w:tr w:rsidR="003A03DA" w:rsidRPr="00CD21AC" w14:paraId="68466560" w14:textId="77777777" w:rsidTr="003A03D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BE04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8A01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0715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2E79F11A" w14:textId="77777777" w:rsidTr="003A03D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F48" w14:textId="77777777" w:rsidR="003A03DA" w:rsidRPr="00CD21AC" w:rsidRDefault="003A03DA" w:rsidP="005F3D1F">
            <w:pPr>
              <w:pStyle w:val="a7"/>
              <w:numPr>
                <w:ilvl w:val="0"/>
                <w:numId w:val="8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Βελόνες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15 G</w:t>
            </w:r>
          </w:p>
          <w:p w14:paraId="36D31D37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5C149BB9" w14:textId="77777777" w:rsidR="003A03DA" w:rsidRPr="00CD21AC" w:rsidRDefault="003A03DA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DA6F2C2" w14:textId="77777777" w:rsidR="003A03DA" w:rsidRPr="00CD21AC" w:rsidRDefault="003A03DA" w:rsidP="005F3D1F">
            <w:pPr>
              <w:pStyle w:val="a7"/>
              <w:numPr>
                <w:ilvl w:val="0"/>
                <w:numId w:val="8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Βελόνες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16G</w:t>
            </w:r>
          </w:p>
          <w:p w14:paraId="28BBBB31" w14:textId="77777777" w:rsidR="003A03DA" w:rsidRPr="00CD21AC" w:rsidRDefault="003A03DA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21EA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350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  <w:p w14:paraId="0A66E30E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82149C8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0185241" w14:textId="77777777" w:rsidR="003A03DA" w:rsidRPr="00CD21AC" w:rsidRDefault="003A03DA">
            <w:pPr>
              <w:pStyle w:val="a7"/>
              <w:tabs>
                <w:tab w:val="left" w:pos="720"/>
                <w:tab w:val="center" w:pos="4153"/>
                <w:tab w:val="right" w:pos="8306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350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3DDC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αθέτουν back-eye,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φλε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βική</w:t>
            </w:r>
          </w:p>
          <w:p w14:paraId="1D0A0E3F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 είναι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ατραυματικές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περιορισμό του πόνου και του τραυματισμού</w:t>
            </w:r>
          </w:p>
          <w:p w14:paraId="25D13AE4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είναι αποστειρωμένες με γ-ακτινοβολία ή ατμό</w:t>
            </w:r>
          </w:p>
          <w:p w14:paraId="66CCF28D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 μεταλλικό τμήμα της βελόνας να είναι επικαλυμμένο με αδρανές υλικό</w:t>
            </w:r>
          </w:p>
          <w:p w14:paraId="5F81EE20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διαθέτουν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κλιπς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τη δυνητική διακοπή της αιματικής ροής κατά τη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φλεβοκέντηση</w:t>
            </w:r>
            <w:proofErr w:type="spellEnd"/>
          </w:p>
          <w:p w14:paraId="169938D7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αθέτουν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εριστρεφόμενη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ετ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αλούδα </w:t>
            </w:r>
          </w:p>
          <w:p w14:paraId="0F264336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Να έχει διάμετρο η βελόνας 15-16-17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και να ακολουθούν το Διεθνές πρότυπο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ISO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9626:1991</w:t>
            </w:r>
          </w:p>
          <w:p w14:paraId="49ED1D72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το πάχος του τοιχώματος της βελόνας 97±1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Microns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και να ακολουθούν το Διεθνές πρότυπο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ISO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9626:1991</w:t>
            </w:r>
          </w:p>
          <w:p w14:paraId="288F8C69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Το μήκος της βελόνας να είναι 1’’ (25ΜΜ) και να ακολουθούν το Διεθνές πρότυπο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ISO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9626:1991</w:t>
            </w:r>
          </w:p>
          <w:p w14:paraId="260A6480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 μήκος του σωλήνα να είναι 150</w:t>
            </w:r>
          </w:p>
          <w:p w14:paraId="77BE397F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και η ημερομηνία λήξης της αποστείρωσης</w:t>
            </w:r>
          </w:p>
          <w:p w14:paraId="57B0A36A" w14:textId="77777777" w:rsidR="003A03DA" w:rsidRPr="00CD21AC" w:rsidRDefault="003A03DA" w:rsidP="005F3D1F">
            <w:pPr>
              <w:pStyle w:val="a7"/>
              <w:numPr>
                <w:ilvl w:val="0"/>
                <w:numId w:val="7"/>
              </w:num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Τα προϊόντα να φέρουν σήμανση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CE</w:t>
            </w:r>
          </w:p>
        </w:tc>
      </w:tr>
    </w:tbl>
    <w:p w14:paraId="172332E3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6" w:name="_Hlk39150571"/>
    </w:p>
    <w:bookmarkEnd w:id="6"/>
    <w:p w14:paraId="6DB35716" w14:textId="77777777" w:rsidR="003A03DA" w:rsidRPr="00CD21AC" w:rsidRDefault="003A03DA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7. ΣΕΤ ΠΑΡΑΚΕΝΤΗΣΗΣ ΕΝΑΡΞΗΣ ΚΑΙ ΛΗΞΗΣ ΑΙΜΟΚΑΘΑΡΣΗΣ</w:t>
      </w:r>
    </w:p>
    <w:tbl>
      <w:tblPr>
        <w:tblStyle w:val="a6"/>
        <w:tblW w:w="10569" w:type="dxa"/>
        <w:jc w:val="center"/>
        <w:tblLook w:val="04A0" w:firstRow="1" w:lastRow="0" w:firstColumn="1" w:lastColumn="0" w:noHBand="0" w:noVBand="1"/>
      </w:tblPr>
      <w:tblGrid>
        <w:gridCol w:w="2405"/>
        <w:gridCol w:w="1276"/>
        <w:gridCol w:w="6888"/>
      </w:tblGrid>
      <w:tr w:rsidR="003A03DA" w:rsidRPr="00CD21AC" w14:paraId="37D329A9" w14:textId="77777777" w:rsidTr="00CD21AC">
        <w:trPr>
          <w:trHeight w:val="4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72E9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371A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DD8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7432838D" w14:textId="77777777" w:rsidTr="00CD21AC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0B57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Σετ παρακέντησης για την έναρξη αιμοκάθαρσης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55D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600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1C0A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περιέχει ένα ζεύγος αποστειρωμένα γάντια μεγέθους </w:t>
            </w: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medium</w:t>
            </w:r>
          </w:p>
          <w:p w14:paraId="432DA431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περιέχει ένα χειρουργικό πεδίο απορροφητικό, αδιάβροχο</w:t>
            </w:r>
          </w:p>
          <w:p w14:paraId="4900CFAE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τρί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τολύ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πια </w:t>
            </w:r>
          </w:p>
          <w:p w14:paraId="3F2C24EC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τρεις γάζες 7.5*7,5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εκ.των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8 φύλλων</w:t>
            </w:r>
          </w:p>
          <w:p w14:paraId="1B913BFE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δυο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αντιαλλεργικά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αυτοκόλλητα με ανατομική εγκοπή για την σταθεροποίηση των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βελόνων</w:t>
            </w:r>
            <w:proofErr w:type="spellEnd"/>
          </w:p>
          <w:p w14:paraId="2DB732FA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τέσσερα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αντιαλλεργικά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αυτοκόλλητα για τη σταθεροποίηση των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αρτηριοφλεβικών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γραμμών</w:t>
            </w:r>
          </w:p>
          <w:p w14:paraId="682B6108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δίχωρη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η συσκευασία, αποστειρωμένη και σκληρή</w:t>
            </w:r>
          </w:p>
          <w:p w14:paraId="6336634B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φέρει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σήμ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ανση CE</w:t>
            </w:r>
          </w:p>
          <w:p w14:paraId="388C29F6" w14:textId="77777777" w:rsidR="003A03DA" w:rsidRPr="00CD21AC" w:rsidRDefault="003A03DA" w:rsidP="005F3D1F">
            <w:pPr>
              <w:pStyle w:val="a7"/>
              <w:numPr>
                <w:ilvl w:val="0"/>
                <w:numId w:val="9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  <w:tr w:rsidR="003A03DA" w:rsidRPr="00CD21AC" w14:paraId="4FC85B0C" w14:textId="77777777" w:rsidTr="00CD21AC">
        <w:trPr>
          <w:trHeight w:val="1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979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Σετ παρακέντησης για την λήξη αιμοκάθαρσης </w:t>
            </w:r>
          </w:p>
          <w:p w14:paraId="4AF13D89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D27DCC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D30CA75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D3D20E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02E3DF9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FF5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600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266E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ένα ζεύγος γάντια αποστειρωμένα μεγέθους  </w:t>
            </w: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medium</w:t>
            </w: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830F711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ένα χειρουργικό πεδίο.</w:t>
            </w:r>
          </w:p>
          <w:p w14:paraId="69832E5A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δύο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τολύπια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μεγάλα διαμέτρου 8εκ.</w:t>
            </w:r>
          </w:p>
          <w:p w14:paraId="6896111A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έχει τέσσερις γάζες 7,5*7,5 εκ.8 φύλλων.</w:t>
            </w:r>
          </w:p>
          <w:p w14:paraId="601B0D8D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δύο ειδικά αιμοστατικά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αντιαλλεργικά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αυτοκόλλητα τύπου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SURE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SEAL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SIZE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XL</w:t>
            </w:r>
          </w:p>
          <w:p w14:paraId="08E3C4C6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Να έχει δύο ειδικά πίεστρα για αιμόσταση από εύκαμπτο πλαστικό με δυνατότητα ρύθμισης της πίεσης για την αιμόσταση χωρίς να δημιουργούνται προβλήματα στη λειτουργιά του αγγείου </w:t>
            </w:r>
          </w:p>
          <w:p w14:paraId="25009EA6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δίχωρη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η συσκευασία, αποστειρωμένη και σκληρή</w:t>
            </w:r>
          </w:p>
          <w:p w14:paraId="23D2FB0E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φέρει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σήμ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ανση CE</w:t>
            </w:r>
          </w:p>
          <w:p w14:paraId="6FF61D20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3AD38471" w14:textId="77777777" w:rsidR="00ED4105" w:rsidRDefault="00ED4105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65AEE" w14:textId="4F2E35D1" w:rsidR="003A03DA" w:rsidRPr="00CD21AC" w:rsidRDefault="003A03DA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8.ΦΙΛΤΡΑ ΥΠΕΡΚΑΘΑΡΟΥ ΝΕΡΟΥ ΓΙΑ ΜΗΧΑΝΗΜΑΤΑ FRESENIUS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ΚΑΙ 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FRESENIUS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5008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</w:p>
    <w:tbl>
      <w:tblPr>
        <w:tblStyle w:val="a6"/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7603"/>
      </w:tblGrid>
      <w:tr w:rsidR="003A03DA" w:rsidRPr="00CD21AC" w14:paraId="2AA99ECF" w14:textId="77777777" w:rsidTr="00ED410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117F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1772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FE1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236170F6" w14:textId="77777777" w:rsidTr="00ED4105">
        <w:trPr>
          <w:trHeight w:val="219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D65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ΦΙΛΤΡΑ ΥΠΕΡΚΑΘΑΡΟΥ ΝΕΡΟΥ (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diasafe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plus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2F80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11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F2E1" w14:textId="77777777" w:rsidR="003A03DA" w:rsidRPr="00CD21AC" w:rsidRDefault="003A03DA" w:rsidP="005F3D1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κατάλληλο για την παρασκευή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υπερκαθαρού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νερού</w:t>
            </w:r>
          </w:p>
          <w:p w14:paraId="742A701C" w14:textId="77777777" w:rsidR="003A03DA" w:rsidRPr="00CD21AC" w:rsidRDefault="003A03DA" w:rsidP="005F3D1F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κατάλληλο για την παρασκευή διαλύματος για την θεραπεία της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αιμοδιήθησης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αιμοδιαδιήθησης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LINE</w:t>
            </w:r>
          </w:p>
          <w:p w14:paraId="1B1BE23A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μπορούν να χρησιμοποιηθούν ως 100 φορές</w:t>
            </w:r>
          </w:p>
          <w:p w14:paraId="17C28EE2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φέρει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σήμ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ανση CE</w:t>
            </w:r>
          </w:p>
          <w:p w14:paraId="1DF03657" w14:textId="77777777" w:rsidR="003A03DA" w:rsidRPr="00CD21AC" w:rsidRDefault="003A03DA" w:rsidP="005F3D1F">
            <w:pPr>
              <w:pStyle w:val="a7"/>
              <w:numPr>
                <w:ilvl w:val="0"/>
                <w:numId w:val="1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6C376089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7" w:name="_Hlk38613826"/>
    </w:p>
    <w:bookmarkEnd w:id="7"/>
    <w:p w14:paraId="2F367A9A" w14:textId="77777777" w:rsidR="003A03DA" w:rsidRPr="00CD21AC" w:rsidRDefault="003A03DA" w:rsidP="00CD21A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9.ΔΙΑΛΥΜΑ ΑΠΟΛΥΜΑΝΣΗΣ ΚΑΙ ΑΦΑΛΑΤΩΣΗΣ ΓΙΑ ΜΗΧΑΝΗΜΑΤΑ FRESENIUS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ΚΑΙ 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FRESENIUS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5008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</w:p>
    <w:tbl>
      <w:tblPr>
        <w:tblStyle w:val="a6"/>
        <w:tblW w:w="10632" w:type="dxa"/>
        <w:jc w:val="center"/>
        <w:tblLook w:val="04A0" w:firstRow="1" w:lastRow="0" w:firstColumn="1" w:lastColumn="0" w:noHBand="0" w:noVBand="1"/>
      </w:tblPr>
      <w:tblGrid>
        <w:gridCol w:w="1470"/>
        <w:gridCol w:w="1246"/>
        <w:gridCol w:w="7916"/>
      </w:tblGrid>
      <w:tr w:rsidR="003A03DA" w:rsidRPr="00CD21AC" w14:paraId="784EE2D3" w14:textId="77777777" w:rsidTr="00ED4105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2482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40E8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C82A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004131EE" w14:textId="77777777" w:rsidTr="00ED4105">
        <w:trPr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A441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Διάλυμ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ολύμ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ανσης και αφα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λάτωσης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FECB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18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FE4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κατάλληλο για απολύμανση των μηχανημάτων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Fresenius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4008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</w:t>
            </w:r>
          </w:p>
          <w:p w14:paraId="1702C81F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πολύ όξινο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pH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1.7 έως 2.8</w:t>
            </w:r>
          </w:p>
          <w:p w14:paraId="60C3FC04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Να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ακρύνει 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οτελεσμ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ατικά τα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άλ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ατα</w:t>
            </w:r>
          </w:p>
          <w:p w14:paraId="59A80C7A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διενεργεί απολύμανση &amp; απασβέστωση σε μια διαδικασία </w:t>
            </w:r>
          </w:p>
          <w:p w14:paraId="1EF39B29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είν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αι β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ιοδι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ασπώμενο </w:t>
            </w:r>
          </w:p>
          <w:p w14:paraId="02942A85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μην είναι τοξικό (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LD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50 &gt; 2000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mg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kg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92FF3C1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είναι άοσμο και να μην περιέχει χρωστικές</w:t>
            </w:r>
          </w:p>
          <w:p w14:paraId="0FA6F8E1" w14:textId="77777777" w:rsidR="003A03DA" w:rsidRPr="00CD21AC" w:rsidRDefault="003A03DA" w:rsidP="005F3D1F">
            <w:pPr>
              <w:pStyle w:val="a7"/>
              <w:numPr>
                <w:ilvl w:val="0"/>
                <w:numId w:val="12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έχει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αντιμικροβιακής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δράσης και να λειτουργεί ως: •Βακτηριοκτόνο</w:t>
            </w:r>
          </w:p>
          <w:p w14:paraId="13A677F8" w14:textId="77777777" w:rsidR="003A03DA" w:rsidRPr="00CD21AC" w:rsidRDefault="003A03DA">
            <w:pPr>
              <w:pStyle w:val="a7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•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Ιοκτόνο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(</w:t>
            </w:r>
            <w:proofErr w:type="gram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HBV,HCV</w:t>
            </w:r>
            <w:proofErr w:type="gram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,HIV)</w:t>
            </w:r>
          </w:p>
          <w:p w14:paraId="74551E13" w14:textId="77777777" w:rsidR="003A03DA" w:rsidRPr="00CD21AC" w:rsidRDefault="003A03DA">
            <w:pPr>
              <w:pStyle w:val="a7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•Σπ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οροκτόνο</w:t>
            </w:r>
            <w:proofErr w:type="spellEnd"/>
          </w:p>
          <w:p w14:paraId="006FB136" w14:textId="77777777" w:rsidR="003A03DA" w:rsidRPr="00CD21AC" w:rsidRDefault="003A03DA" w:rsidP="005F3D1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φέρει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σήμ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ανση CE</w:t>
            </w:r>
          </w:p>
          <w:p w14:paraId="61C93D4A" w14:textId="6902C7AB" w:rsidR="003A03DA" w:rsidRPr="00ED4105" w:rsidRDefault="003A03DA" w:rsidP="005F3D1F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6025161B" w14:textId="77777777" w:rsidR="003A03DA" w:rsidRPr="00CD21AC" w:rsidRDefault="003A03DA" w:rsidP="003A03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201598" w14:textId="77777777" w:rsidR="003A03DA" w:rsidRPr="00CD21AC" w:rsidRDefault="003A03DA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10.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>ΔΙΑΛΥΜΑΤA ΔΙΤΤΑΝΘΡΑΚΙΚΩΝ ΑΙΜΟΚΑΘΑΡΣΗΣ</w:t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1957"/>
        <w:gridCol w:w="1246"/>
        <w:gridCol w:w="7429"/>
      </w:tblGrid>
      <w:tr w:rsidR="003A03DA" w:rsidRPr="00CD21AC" w14:paraId="5B78651D" w14:textId="77777777" w:rsidTr="00ED4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D739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0F0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8C0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0D037740" w14:textId="77777777" w:rsidTr="00ED41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1CC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Όξιν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αλύματα 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ιμοκάθ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αρσης</w:t>
            </w:r>
          </w:p>
          <w:p w14:paraId="116DB70B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913E2DC" w14:textId="77777777" w:rsidR="003A03DA" w:rsidRPr="00CD21AC" w:rsidRDefault="003A03DA" w:rsidP="005F3D1F">
            <w:pPr>
              <w:pStyle w:val="a7"/>
              <w:numPr>
                <w:ilvl w:val="0"/>
                <w:numId w:val="14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Ca1,5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K2 D1</w:t>
            </w:r>
          </w:p>
          <w:p w14:paraId="4AF2DECC" w14:textId="77777777" w:rsidR="003A03DA" w:rsidRPr="00CD21AC" w:rsidRDefault="003A03DA">
            <w:pPr>
              <w:pStyle w:val="a7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625A1FE2" w14:textId="77777777" w:rsidR="003A03DA" w:rsidRPr="00CD21AC" w:rsidRDefault="003A03DA" w:rsidP="005F3D1F">
            <w:pPr>
              <w:pStyle w:val="a7"/>
              <w:numPr>
                <w:ilvl w:val="0"/>
                <w:numId w:val="14"/>
              </w:numPr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Ca1,25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K2 D1</w:t>
            </w:r>
          </w:p>
          <w:p w14:paraId="368610E5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FB54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34B0B310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79D235B7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063A392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500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  <w:p w14:paraId="5986D5B4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24C1470A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gram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500 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  <w:proofErr w:type="gramEnd"/>
          </w:p>
          <w:p w14:paraId="25CF0CA6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  <w:p w14:paraId="1324F0C2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BA7" w14:textId="77777777" w:rsidR="003A03DA" w:rsidRPr="00CD21AC" w:rsidRDefault="003A03DA" w:rsidP="005F3D1F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φέρουν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τη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σήμ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ανση CE</w:t>
            </w:r>
          </w:p>
          <w:p w14:paraId="0AA6D97D" w14:textId="77777777" w:rsidR="003A03DA" w:rsidRPr="00CD21AC" w:rsidRDefault="003A03DA" w:rsidP="005F3D1F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Να είναι σε αδρανή πλαστικά δοχεία μιας χρήσης 5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Lt</w:t>
            </w:r>
          </w:p>
          <w:p w14:paraId="3DF23D25" w14:textId="77777777" w:rsidR="003A03DA" w:rsidRPr="00CD21AC" w:rsidRDefault="003A03DA" w:rsidP="005F3D1F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Η επισήμανση των δοχείων να γίνεται με ετικέτες όπου αναφέρονται</w:t>
            </w:r>
          </w:p>
          <w:p w14:paraId="112078C7" w14:textId="77777777" w:rsidR="003A03DA" w:rsidRPr="00CD21AC" w:rsidRDefault="003A03DA">
            <w:pPr>
              <w:pStyle w:val="a7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α) Ημερομηνία παρασκευής-λήξης</w:t>
            </w:r>
          </w:p>
          <w:p w14:paraId="25C636F2" w14:textId="77777777" w:rsidR="003A03DA" w:rsidRPr="00CD21AC" w:rsidRDefault="003A03DA">
            <w:pPr>
              <w:pStyle w:val="a7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β)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Αρ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παρτίδας</w:t>
            </w:r>
          </w:p>
          <w:p w14:paraId="4036B4C9" w14:textId="77777777" w:rsidR="003A03DA" w:rsidRPr="00CD21AC" w:rsidRDefault="003A03DA">
            <w:pPr>
              <w:pStyle w:val="a7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γ) Οδηγίες παρασκευής τελικού προϊόντος</w:t>
            </w:r>
          </w:p>
          <w:p w14:paraId="0DC258D1" w14:textId="77777777" w:rsidR="003A03DA" w:rsidRPr="00CD21AC" w:rsidRDefault="003A03DA">
            <w:pPr>
              <w:pStyle w:val="a7"/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δ) Ονομαστικό όγκο διαλύματος.</w:t>
            </w:r>
          </w:p>
          <w:p w14:paraId="73D5FC93" w14:textId="77777777" w:rsidR="003A03DA" w:rsidRPr="00CD21AC" w:rsidRDefault="003A03DA" w:rsidP="005F3D1F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Η σύνθεση του τελικούς διαλύματος να είναι:</w:t>
            </w:r>
          </w:p>
          <w:p w14:paraId="73478B82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Να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-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130-145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meq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  <w:p w14:paraId="1AC00106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K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+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0-3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meq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  <w:p w14:paraId="52F41454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Ca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+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0-4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meq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  <w:p w14:paraId="78BCA97D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Οξικό Οξύ 2,5-10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meq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  <w:p w14:paraId="78BF0B7B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Διτανθρακικό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32-45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meg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  <w:p w14:paraId="54285D40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Γλυκόζη 0-2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</w:t>
            </w:r>
          </w:p>
          <w:p w14:paraId="2B8E4BEC" w14:textId="77777777" w:rsidR="003A03DA" w:rsidRPr="00CD21AC" w:rsidRDefault="003A03DA" w:rsidP="005F3D1F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539ACDFE" w14:textId="77777777" w:rsidR="003A03DA" w:rsidRPr="00CD21AC" w:rsidRDefault="003A03DA" w:rsidP="003A03DA">
      <w:pPr>
        <w:spacing w:after="160" w:line="25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AA932CB" w14:textId="1BD5FAA3" w:rsidR="003A03DA" w:rsidRPr="00CD21AC" w:rsidRDefault="003A03DA" w:rsidP="00CD21AC">
      <w:pPr>
        <w:spacing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11. ΓΡΑΜΜΕΣ 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ONLINE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ΓΙΑ ΜΗΧΑΝΗΜΑ 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FRESENIUS</w:t>
      </w:r>
      <w:r w:rsidRPr="00CD21AC">
        <w:rPr>
          <w:rFonts w:asciiTheme="minorHAnsi" w:hAnsiTheme="minorHAnsi" w:cstheme="minorHAnsi"/>
          <w:b/>
          <w:bCs/>
          <w:sz w:val="22"/>
          <w:szCs w:val="22"/>
        </w:rPr>
        <w:t xml:space="preserve"> 4008</w:t>
      </w:r>
      <w:r w:rsidRPr="00CD21AC">
        <w:rPr>
          <w:rFonts w:asciiTheme="minorHAnsi" w:hAnsiTheme="minorHAnsi" w:cstheme="minorHAnsi"/>
          <w:b/>
          <w:bCs/>
          <w:sz w:val="22"/>
          <w:szCs w:val="22"/>
          <w:lang w:val="en-US"/>
        </w:rPr>
        <w:t>S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418"/>
        <w:gridCol w:w="6745"/>
      </w:tblGrid>
      <w:tr w:rsidR="003A03DA" w:rsidRPr="00CD21AC" w14:paraId="6E1AD7B9" w14:textId="77777777" w:rsidTr="00CD21AC">
        <w:trPr>
          <w:trHeight w:val="6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86A9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ΥΛΙΚΟ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F754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ΠΟΣΟΤΗΤΑ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4E20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ΤΕΧΝΙΚΕΣ ΠΡΟΔΙΑΓΡΑΦΕΣ</w:t>
            </w:r>
          </w:p>
        </w:tc>
      </w:tr>
      <w:tr w:rsidR="003A03DA" w:rsidRPr="00CD21AC" w14:paraId="5C8AE4DB" w14:textId="77777777" w:rsidTr="00CD21AC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398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Γρ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αμμές 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8A8A" w14:textId="77777777" w:rsidR="003A03DA" w:rsidRPr="00CD21AC" w:rsidRDefault="003A03D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100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τμχ</w:t>
            </w:r>
            <w:proofErr w:type="spellEnd"/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C13" w14:textId="77777777" w:rsidR="003A03DA" w:rsidRPr="00CD21AC" w:rsidRDefault="003A03DA" w:rsidP="005F3D1F">
            <w:pPr>
              <w:pStyle w:val="a7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Να είναι κατάλληλα για την εφαρμογή  της θεραπεία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ON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LINE</w:t>
            </w: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αιμοδιαδιήθησης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κατά την οποία δεν χρησιμοποιούνται σάκοι υποκατάστατου διαλύματος</w:t>
            </w:r>
          </w:p>
          <w:p w14:paraId="467D9ABB" w14:textId="77777777" w:rsidR="003A03DA" w:rsidRPr="00CD21AC" w:rsidRDefault="003A03DA" w:rsidP="005F3D1F">
            <w:pPr>
              <w:pStyle w:val="a7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είν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αι </w:t>
            </w:r>
            <w:proofErr w:type="gram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απ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οστειρωμέν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 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με</w:t>
            </w:r>
            <w:proofErr w:type="spellEnd"/>
            <w:proofErr w:type="gram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α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τμό</w:t>
            </w:r>
            <w:proofErr w:type="spellEnd"/>
          </w:p>
          <w:p w14:paraId="5BA5CC00" w14:textId="77777777" w:rsidR="003A03DA" w:rsidRPr="00CD21AC" w:rsidRDefault="003A03DA" w:rsidP="005F3D1F">
            <w:pPr>
              <w:pStyle w:val="a7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Να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έχουν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διάρκει</w:t>
            </w:r>
            <w:proofErr w:type="spellEnd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α 4 </w:t>
            </w:r>
            <w:proofErr w:type="spellStart"/>
            <w:r w:rsidRPr="00CD21AC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έτη</w:t>
            </w:r>
            <w:proofErr w:type="spellEnd"/>
          </w:p>
          <w:p w14:paraId="6C7195C0" w14:textId="3F0628FD" w:rsidR="003A03DA" w:rsidRPr="00CD21AC" w:rsidRDefault="003A03DA" w:rsidP="005F3D1F">
            <w:pPr>
              <w:pStyle w:val="a7"/>
              <w:numPr>
                <w:ilvl w:val="0"/>
                <w:numId w:val="16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21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Στη συσκευασία να αναγράφεται η ημερομηνία αποστείρωσης  και η ημερομηνία λήξης της αποστείρωσης</w:t>
            </w:r>
          </w:p>
        </w:tc>
      </w:tr>
    </w:tbl>
    <w:p w14:paraId="577A8AEF" w14:textId="77777777" w:rsidR="003A03DA" w:rsidRPr="00CD21AC" w:rsidRDefault="003A03DA" w:rsidP="003A03D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86951F" w14:textId="77777777" w:rsidR="003A03DA" w:rsidRPr="00CD21AC" w:rsidRDefault="003A03DA" w:rsidP="003A03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ΣΗΜΕΙΩΣΗ: </w:t>
      </w:r>
    </w:p>
    <w:p w14:paraId="0413A7D3" w14:textId="77777777" w:rsidR="003A03DA" w:rsidRPr="00CD21AC" w:rsidRDefault="003A03DA" w:rsidP="005F3D1F">
      <w:pPr>
        <w:pStyle w:val="a7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Τα προς προμήθεια παραπάνω  υλικά θα πρέπει  να έχουν μακρά διάρκεια λήξης τουλάχιστον 3-4 ετών.</w:t>
      </w:r>
    </w:p>
    <w:p w14:paraId="0119E9CD" w14:textId="77777777" w:rsidR="003A03DA" w:rsidRPr="00CD21AC" w:rsidRDefault="003A03DA" w:rsidP="005F3D1F">
      <w:pPr>
        <w:pStyle w:val="a7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D21AC">
        <w:rPr>
          <w:rFonts w:asciiTheme="minorHAnsi" w:hAnsiTheme="minorHAnsi" w:cstheme="minorHAnsi"/>
          <w:b/>
          <w:bCs/>
          <w:sz w:val="22"/>
          <w:szCs w:val="22"/>
        </w:rPr>
        <w:t>Όλα τα αναλώσιμα υλικά να συνοδεύονται από πιστοποιητικά ποιότητας.</w:t>
      </w:r>
    </w:p>
    <w:p w14:paraId="2845E0A3" w14:textId="420D710B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18B68904" w14:textId="77777777" w:rsidR="00ED4105" w:rsidRPr="00CD21AC" w:rsidRDefault="00ED410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53722C00" w14:textId="11834DA6" w:rsidR="00AC61FB" w:rsidRPr="00CD21A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D21A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ΓΕΝΙΚΟΙ ΟΡΟΙ</w:t>
      </w:r>
      <w:r w:rsidRPr="00CD21A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D21AC">
        <w:rPr>
          <w:rFonts w:asciiTheme="minorHAnsi" w:hAnsiTheme="minorHAnsi"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CD21AC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0"/>
          <w:szCs w:val="20"/>
        </w:rPr>
      </w:pPr>
    </w:p>
    <w:p w14:paraId="7E2C9EB1" w14:textId="787DC864" w:rsidR="005B113F" w:rsidRPr="00CD21AC" w:rsidRDefault="00B7302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D21AC">
        <w:rPr>
          <w:rFonts w:asciiTheme="minorHAnsi" w:hAnsiTheme="minorHAnsi" w:cstheme="minorHAnsi"/>
          <w:sz w:val="22"/>
          <w:szCs w:val="22"/>
        </w:rPr>
        <w:t>60</w:t>
      </w:r>
      <w:r w:rsidR="00A63ADE" w:rsidRPr="00CD21AC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C365804" w:rsidR="00AC61FB" w:rsidRPr="00F87930" w:rsidRDefault="00A31737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793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F87930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F87930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F87930">
        <w:rPr>
          <w:rFonts w:asciiTheme="minorHAnsi" w:hAnsiTheme="minorHAnsi" w:cstheme="minorHAnsi"/>
          <w:sz w:val="22"/>
          <w:szCs w:val="22"/>
        </w:rPr>
        <w:t>:</w:t>
      </w:r>
      <w:r w:rsidR="000D1F68" w:rsidRPr="00F8793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F8793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F8793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F8793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F8793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F8793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Pr="00F87930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F87930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F87930">
        <w:rPr>
          <w:rFonts w:asciiTheme="minorHAnsi" w:hAnsiTheme="minorHAnsi" w:cstheme="minorHAnsi"/>
          <w:sz w:val="22"/>
          <w:szCs w:val="22"/>
        </w:rPr>
        <w:t>: 22860</w:t>
      </w:r>
      <w:r w:rsidR="001C1A5A" w:rsidRPr="00F87930">
        <w:rPr>
          <w:rFonts w:asciiTheme="minorHAnsi" w:hAnsiTheme="minorHAnsi" w:cstheme="minorHAnsi"/>
          <w:sz w:val="22"/>
          <w:szCs w:val="22"/>
        </w:rPr>
        <w:t>35</w:t>
      </w:r>
      <w:r w:rsidR="00D747F7" w:rsidRPr="00F87930">
        <w:rPr>
          <w:rFonts w:asciiTheme="minorHAnsi" w:hAnsiTheme="minorHAnsi" w:cstheme="minorHAnsi"/>
          <w:sz w:val="22"/>
          <w:szCs w:val="22"/>
        </w:rPr>
        <w:t>459</w:t>
      </w:r>
      <w:r w:rsidRPr="00F87930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F87930">
        <w:rPr>
          <w:rFonts w:asciiTheme="minorHAnsi" w:hAnsiTheme="minorHAnsi" w:cstheme="minorHAnsi"/>
          <w:sz w:val="22"/>
          <w:szCs w:val="22"/>
        </w:rPr>
        <w:t xml:space="preserve">τις </w:t>
      </w:r>
      <w:r w:rsidR="006C714A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="001B4E65">
        <w:rPr>
          <w:rFonts w:asciiTheme="minorHAnsi" w:hAnsiTheme="minorHAnsi" w:cstheme="minorHAnsi"/>
          <w:sz w:val="22"/>
          <w:szCs w:val="22"/>
        </w:rPr>
        <w:t>12</w:t>
      </w:r>
      <w:r w:rsidR="006C714A" w:rsidRPr="00F87930">
        <w:rPr>
          <w:rFonts w:asciiTheme="minorHAnsi" w:hAnsiTheme="minorHAnsi" w:cstheme="minorHAnsi"/>
          <w:sz w:val="22"/>
          <w:szCs w:val="22"/>
        </w:rPr>
        <w:t>.05.2020</w:t>
      </w:r>
      <w:r w:rsidR="000D1F68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7930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6C714A" w:rsidRPr="00F87930">
        <w:rPr>
          <w:rFonts w:asciiTheme="minorHAnsi" w:hAnsiTheme="minorHAnsi" w:cstheme="minorHAnsi"/>
          <w:sz w:val="22"/>
          <w:szCs w:val="22"/>
        </w:rPr>
        <w:t xml:space="preserve"> Τρίτη</w:t>
      </w:r>
      <w:r w:rsidR="006E5FB5" w:rsidRPr="00F87930">
        <w:rPr>
          <w:rFonts w:asciiTheme="minorHAnsi" w:hAnsiTheme="minorHAnsi" w:cstheme="minorHAnsi"/>
          <w:sz w:val="22"/>
          <w:szCs w:val="22"/>
        </w:rPr>
        <w:t xml:space="preserve"> </w:t>
      </w:r>
      <w:r w:rsidRPr="00F8793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DA19BEC" w:rsidR="008E4B05" w:rsidRPr="00CD21AC" w:rsidRDefault="00A63ADE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21A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424268">
        <w:rPr>
          <w:rFonts w:asciiTheme="minorHAnsi" w:hAnsiTheme="minorHAnsi" w:cstheme="minorHAnsi"/>
          <w:sz w:val="22"/>
          <w:szCs w:val="22"/>
        </w:rPr>
        <w:t>ΚΑΕ</w:t>
      </w:r>
      <w:r w:rsidR="006954DA" w:rsidRPr="00424268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424268">
        <w:rPr>
          <w:rFonts w:asciiTheme="minorHAnsi" w:hAnsiTheme="minorHAnsi" w:cstheme="minorHAnsi"/>
          <w:sz w:val="22"/>
          <w:szCs w:val="22"/>
        </w:rPr>
        <w:t>2</w:t>
      </w:r>
      <w:r w:rsidR="001E7F8C" w:rsidRPr="00424268">
        <w:rPr>
          <w:rFonts w:asciiTheme="minorHAnsi" w:hAnsiTheme="minorHAnsi" w:cstheme="minorHAnsi"/>
          <w:sz w:val="22"/>
          <w:szCs w:val="22"/>
        </w:rPr>
        <w:t>4</w:t>
      </w:r>
      <w:r w:rsidR="006F2549" w:rsidRPr="00424268">
        <w:rPr>
          <w:rFonts w:asciiTheme="minorHAnsi" w:hAnsiTheme="minorHAnsi" w:cstheme="minorHAnsi"/>
          <w:sz w:val="22"/>
          <w:szCs w:val="22"/>
        </w:rPr>
        <w:t>.01.</w:t>
      </w:r>
      <w:r w:rsidR="001E7F8C" w:rsidRPr="00424268">
        <w:rPr>
          <w:rFonts w:asciiTheme="minorHAnsi" w:hAnsiTheme="minorHAnsi" w:cstheme="minorHAnsi"/>
          <w:sz w:val="22"/>
          <w:szCs w:val="22"/>
        </w:rPr>
        <w:t>0</w:t>
      </w:r>
      <w:r w:rsidR="006F2549" w:rsidRPr="00424268">
        <w:rPr>
          <w:rFonts w:asciiTheme="minorHAnsi" w:hAnsiTheme="minorHAnsi" w:cstheme="minorHAnsi"/>
          <w:sz w:val="22"/>
          <w:szCs w:val="22"/>
        </w:rPr>
        <w:t>1</w:t>
      </w:r>
      <w:r w:rsidR="00BE5B76" w:rsidRPr="00424268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424268">
        <w:rPr>
          <w:rFonts w:asciiTheme="minorHAnsi" w:hAnsiTheme="minorHAnsi" w:cstheme="minorHAnsi"/>
          <w:sz w:val="22"/>
          <w:szCs w:val="22"/>
        </w:rPr>
        <w:t>(</w:t>
      </w:r>
      <w:r w:rsidR="005C4EDB" w:rsidRPr="00424268">
        <w:rPr>
          <w:rFonts w:asciiTheme="minorHAnsi" w:hAnsiTheme="minorHAnsi" w:cstheme="minorHAnsi"/>
          <w:sz w:val="22"/>
          <w:szCs w:val="22"/>
        </w:rPr>
        <w:t xml:space="preserve"> </w:t>
      </w:r>
      <w:r w:rsidR="001E7F8C" w:rsidRPr="00424268">
        <w:rPr>
          <w:rFonts w:asciiTheme="minorHAnsi" w:hAnsiTheme="minorHAnsi" w:cstheme="minorHAnsi"/>
          <w:sz w:val="22"/>
          <w:szCs w:val="22"/>
        </w:rPr>
        <w:t>Υγειονομικό Υλικό</w:t>
      </w:r>
      <w:r w:rsidR="000D1F68" w:rsidRPr="0042426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424268">
        <w:rPr>
          <w:rFonts w:asciiTheme="minorHAnsi" w:hAnsiTheme="minorHAnsi" w:cstheme="minorHAnsi"/>
          <w:sz w:val="22"/>
          <w:szCs w:val="22"/>
        </w:rPr>
        <w:t>του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εγκεκριμένου για το 20</w:t>
      </w:r>
      <w:r w:rsidR="00421D1A" w:rsidRPr="00CD21AC">
        <w:rPr>
          <w:rFonts w:asciiTheme="minorHAnsi" w:hAnsiTheme="minorHAnsi" w:cstheme="minorHAnsi"/>
          <w:sz w:val="22"/>
          <w:szCs w:val="22"/>
        </w:rPr>
        <w:t>20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CD21AC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D21AC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CD21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F557FF" w:rsidRDefault="00A63ADE" w:rsidP="005F3D1F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F557FF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F557FF" w:rsidRDefault="00AC61F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F557FF" w:rsidRDefault="00AC61FB" w:rsidP="005F3D1F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F557FF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574"/>
    <w:multiLevelType w:val="hybridMultilevel"/>
    <w:tmpl w:val="B6ECF1A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073"/>
    <w:multiLevelType w:val="hybridMultilevel"/>
    <w:tmpl w:val="934AEBE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74B0"/>
    <w:multiLevelType w:val="hybridMultilevel"/>
    <w:tmpl w:val="54BABD2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819CD"/>
    <w:multiLevelType w:val="hybridMultilevel"/>
    <w:tmpl w:val="34FAC2A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36A7"/>
    <w:multiLevelType w:val="hybridMultilevel"/>
    <w:tmpl w:val="BD4CABC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02B3F"/>
    <w:multiLevelType w:val="hybridMultilevel"/>
    <w:tmpl w:val="1062E3A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C5FC9"/>
    <w:multiLevelType w:val="hybridMultilevel"/>
    <w:tmpl w:val="D916D6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B2907"/>
    <w:multiLevelType w:val="hybridMultilevel"/>
    <w:tmpl w:val="1054A6B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C0CFC"/>
    <w:multiLevelType w:val="hybridMultilevel"/>
    <w:tmpl w:val="EDE636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31085F"/>
    <w:multiLevelType w:val="hybridMultilevel"/>
    <w:tmpl w:val="A4BC34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8F052A"/>
    <w:multiLevelType w:val="hybridMultilevel"/>
    <w:tmpl w:val="C44410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94A97"/>
    <w:multiLevelType w:val="hybridMultilevel"/>
    <w:tmpl w:val="873A2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B584C"/>
    <w:multiLevelType w:val="hybridMultilevel"/>
    <w:tmpl w:val="59F0B59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D4D83"/>
    <w:multiLevelType w:val="hybridMultilevel"/>
    <w:tmpl w:val="C3CE4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57A22"/>
    <w:multiLevelType w:val="hybridMultilevel"/>
    <w:tmpl w:val="5A8070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2C26CF"/>
    <w:multiLevelType w:val="hybridMultilevel"/>
    <w:tmpl w:val="0534E84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216E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B4E65"/>
    <w:rsid w:val="001C1A5A"/>
    <w:rsid w:val="001C2250"/>
    <w:rsid w:val="001C498E"/>
    <w:rsid w:val="001C5D73"/>
    <w:rsid w:val="001D51EB"/>
    <w:rsid w:val="001D5FEF"/>
    <w:rsid w:val="001D6D21"/>
    <w:rsid w:val="001E1823"/>
    <w:rsid w:val="001E7F8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59"/>
    <w:rsid w:val="002C42F7"/>
    <w:rsid w:val="002C633B"/>
    <w:rsid w:val="002D2263"/>
    <w:rsid w:val="002D7394"/>
    <w:rsid w:val="002D7870"/>
    <w:rsid w:val="002E0865"/>
    <w:rsid w:val="002E219D"/>
    <w:rsid w:val="002E371D"/>
    <w:rsid w:val="002E50F3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3DA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2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3D1F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C714A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68E8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1CC6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0C4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24B6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21AC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4105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57FF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930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af1">
    <w:name w:val="Grid Table Light"/>
    <w:basedOn w:val="a1"/>
    <w:uiPriority w:val="40"/>
    <w:rsid w:val="003A03D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4AEE-71E2-44D7-A8A8-8F003862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9</Pages>
  <Words>1858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12177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2</cp:revision>
  <cp:lastPrinted>2018-09-14T10:29:00Z</cp:lastPrinted>
  <dcterms:created xsi:type="dcterms:W3CDTF">2020-05-06T05:43:00Z</dcterms:created>
  <dcterms:modified xsi:type="dcterms:W3CDTF">2020-05-06T05:43:00Z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